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D8" w:rsidRDefault="00ED51D8" w:rsidP="00775BF4">
      <w:pPr>
        <w:pStyle w:val="Bezmezer"/>
        <w:rPr>
          <w:lang w:val="cs-CZ"/>
        </w:rPr>
      </w:pPr>
    </w:p>
    <w:p w:rsidR="00FF37C5" w:rsidRDefault="00FF37C5" w:rsidP="00775BF4">
      <w:pPr>
        <w:pStyle w:val="Bezmezer"/>
        <w:rPr>
          <w:lang w:val="cs-CZ"/>
        </w:rPr>
      </w:pPr>
    </w:p>
    <w:p w:rsidR="003F2711" w:rsidRDefault="00775BF4" w:rsidP="00775BF4">
      <w:pPr>
        <w:pStyle w:val="Bezmezer"/>
        <w:rPr>
          <w:b/>
          <w:u w:val="single"/>
          <w:lang w:val="cs-CZ"/>
        </w:rPr>
      </w:pPr>
      <w:r w:rsidRPr="00775BF4">
        <w:rPr>
          <w:lang w:val="cs-CZ"/>
        </w:rPr>
        <w:t xml:space="preserve">  </w:t>
      </w:r>
      <w:r w:rsidRPr="00775BF4">
        <w:rPr>
          <w:b/>
          <w:u w:val="single"/>
          <w:lang w:val="cs-CZ"/>
        </w:rPr>
        <w:t>Závislost vnitřního odporu</w:t>
      </w:r>
      <w:r w:rsidR="001B7243">
        <w:rPr>
          <w:b/>
          <w:u w:val="single"/>
          <w:lang w:val="cs-CZ"/>
        </w:rPr>
        <w:t xml:space="preserve"> (Ri)</w:t>
      </w:r>
      <w:r w:rsidRPr="00775BF4">
        <w:rPr>
          <w:b/>
          <w:u w:val="single"/>
          <w:lang w:val="cs-CZ"/>
        </w:rPr>
        <w:t xml:space="preserve"> aku LiPol na jeho napětí </w:t>
      </w:r>
      <w:r w:rsidR="00A6693A">
        <w:rPr>
          <w:b/>
          <w:u w:val="single"/>
          <w:lang w:val="cs-CZ"/>
        </w:rPr>
        <w:t>a zatěžovacím proudu</w:t>
      </w:r>
    </w:p>
    <w:p w:rsidR="00775BF4" w:rsidRPr="00775BF4" w:rsidRDefault="00775BF4" w:rsidP="00775BF4">
      <w:pPr>
        <w:pStyle w:val="Bezmezer"/>
        <w:rPr>
          <w:b/>
          <w:u w:val="single"/>
          <w:lang w:val="cs-CZ"/>
        </w:rPr>
      </w:pPr>
    </w:p>
    <w:p w:rsidR="00775BF4" w:rsidRDefault="00775BF4" w:rsidP="00775BF4">
      <w:pPr>
        <w:pStyle w:val="Bezmezer"/>
        <w:rPr>
          <w:sz w:val="20"/>
          <w:szCs w:val="20"/>
          <w:lang w:val="cs-CZ"/>
        </w:rPr>
      </w:pPr>
      <w:r w:rsidRPr="00775BF4">
        <w:rPr>
          <w:sz w:val="20"/>
          <w:szCs w:val="20"/>
          <w:lang w:val="cs-CZ"/>
        </w:rPr>
        <w:t xml:space="preserve">   Akumulátory LiPol z důvodů nízké hmotnosti, vysoké kapacity a nízkého vnitřního odporu používáme jako zdroje proudu pro pohon našich elektromodelů. O tom, jaký proud bude možné z</w:t>
      </w:r>
      <w:r>
        <w:rPr>
          <w:sz w:val="20"/>
          <w:szCs w:val="20"/>
          <w:lang w:val="cs-CZ"/>
        </w:rPr>
        <w:t> </w:t>
      </w:r>
      <w:r w:rsidRPr="00775BF4">
        <w:rPr>
          <w:sz w:val="20"/>
          <w:szCs w:val="20"/>
          <w:lang w:val="cs-CZ"/>
        </w:rPr>
        <w:t>aku</w:t>
      </w:r>
      <w:r>
        <w:rPr>
          <w:sz w:val="20"/>
          <w:szCs w:val="20"/>
          <w:lang w:val="cs-CZ"/>
        </w:rPr>
        <w:t xml:space="preserve"> </w:t>
      </w:r>
      <w:r w:rsidRPr="00775BF4">
        <w:rPr>
          <w:sz w:val="20"/>
          <w:szCs w:val="20"/>
          <w:lang w:val="cs-CZ"/>
        </w:rPr>
        <w:t>odebírat, rozhoduje jeho vnitřní odpor a násobek C. Násobek C(</w:t>
      </w:r>
      <w:proofErr w:type="gramStart"/>
      <w:r w:rsidRPr="00775BF4">
        <w:rPr>
          <w:sz w:val="20"/>
          <w:szCs w:val="20"/>
          <w:lang w:val="cs-CZ"/>
        </w:rPr>
        <w:t>min) (Céčko</w:t>
      </w:r>
      <w:proofErr w:type="gramEnd"/>
      <w:r w:rsidRPr="00775BF4">
        <w:rPr>
          <w:sz w:val="20"/>
          <w:szCs w:val="20"/>
          <w:lang w:val="cs-CZ"/>
        </w:rPr>
        <w:t>) určuje povolený trvalý proud,</w:t>
      </w:r>
      <w:r>
        <w:rPr>
          <w:sz w:val="20"/>
          <w:szCs w:val="20"/>
          <w:lang w:val="cs-CZ"/>
        </w:rPr>
        <w:t xml:space="preserve"> </w:t>
      </w:r>
      <w:r w:rsidRPr="00775BF4">
        <w:rPr>
          <w:sz w:val="20"/>
          <w:szCs w:val="20"/>
          <w:lang w:val="cs-CZ"/>
        </w:rPr>
        <w:t>při kterém dojde k poklesu napětí o 10% oproti napětí nezatíženého</w:t>
      </w:r>
      <w:r w:rsidR="00047828">
        <w:rPr>
          <w:sz w:val="20"/>
          <w:szCs w:val="20"/>
          <w:lang w:val="cs-CZ"/>
        </w:rPr>
        <w:t xml:space="preserve"> </w:t>
      </w:r>
      <w:r w:rsidRPr="00775BF4">
        <w:rPr>
          <w:sz w:val="20"/>
          <w:szCs w:val="20"/>
          <w:lang w:val="cs-CZ"/>
        </w:rPr>
        <w:t>aku (U naprázdno). Dále</w:t>
      </w:r>
      <w:r>
        <w:rPr>
          <w:sz w:val="20"/>
          <w:szCs w:val="20"/>
          <w:lang w:val="cs-CZ"/>
        </w:rPr>
        <w:t xml:space="preserve"> </w:t>
      </w:r>
      <w:r w:rsidRPr="00775BF4">
        <w:rPr>
          <w:sz w:val="20"/>
          <w:szCs w:val="20"/>
          <w:lang w:val="cs-CZ"/>
        </w:rPr>
        <w:t>se uvádí Cmax, což značí možný, krátkodobý odběr proudu. To už všichni známe, ale s měřením vnitřního odporu</w:t>
      </w:r>
      <w:r>
        <w:rPr>
          <w:sz w:val="20"/>
          <w:szCs w:val="20"/>
          <w:lang w:val="cs-CZ"/>
        </w:rPr>
        <w:t>,</w:t>
      </w:r>
      <w:r w:rsidRPr="00775BF4">
        <w:rPr>
          <w:sz w:val="20"/>
          <w:szCs w:val="20"/>
          <w:lang w:val="cs-CZ"/>
        </w:rPr>
        <w:t xml:space="preserve"> při kterém dostaneme "rozumné" výsledky je někdy problém.</w:t>
      </w:r>
    </w:p>
    <w:p w:rsidR="009A1AF9" w:rsidRDefault="009A1AF9" w:rsidP="00775BF4">
      <w:pPr>
        <w:pStyle w:val="Bezmezer"/>
        <w:rPr>
          <w:sz w:val="20"/>
          <w:szCs w:val="20"/>
          <w:lang w:val="cs-CZ"/>
        </w:rPr>
      </w:pPr>
    </w:p>
    <w:p w:rsidR="00775BF4" w:rsidRDefault="00775BF4" w:rsidP="00775BF4">
      <w:pPr>
        <w:pStyle w:val="Bezmez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</w:t>
      </w:r>
      <w:r w:rsidRPr="00775BF4">
        <w:rPr>
          <w:sz w:val="20"/>
          <w:szCs w:val="20"/>
          <w:lang w:val="cs-CZ"/>
        </w:rPr>
        <w:t xml:space="preserve"> Problém je i v tom, jakou metodu máme použít. Můžeme si vybrat ze dvou a těmi jsou měření střídavým a měření</w:t>
      </w:r>
    </w:p>
    <w:p w:rsidR="00775BF4" w:rsidRDefault="00775BF4" w:rsidP="00775BF4">
      <w:pPr>
        <w:pStyle w:val="Bezmezer"/>
        <w:rPr>
          <w:sz w:val="20"/>
          <w:szCs w:val="20"/>
          <w:lang w:val="cs-CZ"/>
        </w:rPr>
      </w:pPr>
      <w:r w:rsidRPr="00775BF4">
        <w:rPr>
          <w:sz w:val="20"/>
          <w:szCs w:val="20"/>
          <w:lang w:val="cs-CZ"/>
        </w:rPr>
        <w:t>stejnosměrným proudem. Výrobci LiIon aku určených např. pro notebooky, ale</w:t>
      </w:r>
      <w:r>
        <w:rPr>
          <w:sz w:val="20"/>
          <w:szCs w:val="20"/>
          <w:lang w:val="cs-CZ"/>
        </w:rPr>
        <w:t xml:space="preserve"> </w:t>
      </w:r>
      <w:r w:rsidR="009A1AF9" w:rsidRPr="009A1AF9">
        <w:rPr>
          <w:sz w:val="20"/>
          <w:szCs w:val="20"/>
          <w:lang w:val="cs-CZ"/>
        </w:rPr>
        <w:t>i pro elektromobily (typ 18650),</w:t>
      </w:r>
      <w:r w:rsidR="009A1AF9">
        <w:rPr>
          <w:sz w:val="20"/>
          <w:szCs w:val="20"/>
          <w:lang w:val="cs-CZ"/>
        </w:rPr>
        <w:t xml:space="preserve"> použí-</w:t>
      </w:r>
      <w:r w:rsidR="009A1AF9" w:rsidRPr="009A1AF9">
        <w:rPr>
          <w:sz w:val="20"/>
          <w:szCs w:val="20"/>
          <w:lang w:val="cs-CZ"/>
        </w:rPr>
        <w:t xml:space="preserve"> vají metodu střídavého proudu o frekvenci obvykle 1 kHz</w:t>
      </w:r>
      <w:r w:rsidR="009A1AF9">
        <w:rPr>
          <w:sz w:val="20"/>
          <w:szCs w:val="20"/>
          <w:lang w:val="cs-CZ"/>
        </w:rPr>
        <w:t xml:space="preserve"> </w:t>
      </w:r>
      <w:r w:rsidR="009A1AF9" w:rsidRPr="009A1AF9">
        <w:rPr>
          <w:sz w:val="20"/>
          <w:szCs w:val="20"/>
          <w:lang w:val="cs-CZ"/>
        </w:rPr>
        <w:t>a tu uvádějí v katalogových listech. Při jiné frekvenci</w:t>
      </w:r>
      <w:r w:rsidR="009A1AF9">
        <w:rPr>
          <w:sz w:val="20"/>
          <w:szCs w:val="20"/>
          <w:lang w:val="cs-CZ"/>
        </w:rPr>
        <w:t xml:space="preserve"> dostá-</w:t>
      </w:r>
      <w:r w:rsidR="009A1AF9" w:rsidRPr="009A1AF9">
        <w:rPr>
          <w:sz w:val="20"/>
          <w:szCs w:val="20"/>
          <w:lang w:val="cs-CZ"/>
        </w:rPr>
        <w:t xml:space="preserve"> váme ale odlišné výsledky.</w:t>
      </w:r>
      <w:r w:rsidR="009A1AF9">
        <w:rPr>
          <w:sz w:val="20"/>
          <w:szCs w:val="20"/>
          <w:lang w:val="cs-CZ"/>
        </w:rPr>
        <w:t xml:space="preserve"> </w:t>
      </w:r>
      <w:r w:rsidR="009A1AF9" w:rsidRPr="009A1AF9">
        <w:rPr>
          <w:sz w:val="20"/>
          <w:szCs w:val="20"/>
          <w:lang w:val="cs-CZ"/>
        </w:rPr>
        <w:t>Pro metodu měření</w:t>
      </w:r>
      <w:r w:rsidR="009A1AF9">
        <w:rPr>
          <w:sz w:val="20"/>
          <w:szCs w:val="20"/>
          <w:lang w:val="cs-CZ"/>
        </w:rPr>
        <w:t xml:space="preserve"> </w:t>
      </w:r>
      <w:r w:rsidR="009A1AF9" w:rsidRPr="009A1AF9">
        <w:rPr>
          <w:sz w:val="20"/>
          <w:szCs w:val="20"/>
          <w:lang w:val="cs-CZ"/>
        </w:rPr>
        <w:t>střídavým proudem potřebujeme také specielní zařízení. Podstatně jednodušší</w:t>
      </w:r>
      <w:r w:rsidR="009A1AF9">
        <w:rPr>
          <w:sz w:val="20"/>
          <w:szCs w:val="20"/>
          <w:lang w:val="cs-CZ"/>
        </w:rPr>
        <w:t xml:space="preserve"> </w:t>
      </w:r>
      <w:r w:rsidR="009A1AF9" w:rsidRPr="009A1AF9">
        <w:rPr>
          <w:sz w:val="20"/>
          <w:szCs w:val="20"/>
          <w:lang w:val="cs-CZ"/>
        </w:rPr>
        <w:t xml:space="preserve">a směrodatnější </w:t>
      </w:r>
      <w:r w:rsidR="00534049">
        <w:rPr>
          <w:sz w:val="20"/>
          <w:szCs w:val="20"/>
          <w:lang w:val="cs-CZ"/>
        </w:rPr>
        <w:t>i</w:t>
      </w:r>
      <w:r w:rsidR="009A1AF9" w:rsidRPr="009A1AF9">
        <w:rPr>
          <w:sz w:val="20"/>
          <w:szCs w:val="20"/>
          <w:lang w:val="cs-CZ"/>
        </w:rPr>
        <w:t xml:space="preserve"> pro naše modelářské použití je měření Ri stejnosměrným proudem.</w:t>
      </w:r>
    </w:p>
    <w:p w:rsidR="009A1AF9" w:rsidRDefault="009A1AF9" w:rsidP="00775BF4">
      <w:pPr>
        <w:pStyle w:val="Bezmez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</w:t>
      </w:r>
    </w:p>
    <w:p w:rsidR="009A1AF9" w:rsidRPr="00404777" w:rsidRDefault="00404777" w:rsidP="00775BF4">
      <w:pPr>
        <w:pStyle w:val="Bezmezer"/>
        <w:rPr>
          <w:b/>
          <w:sz w:val="20"/>
          <w:szCs w:val="20"/>
          <w:lang w:val="cs-CZ"/>
        </w:rPr>
      </w:pPr>
      <w:r w:rsidRPr="00404777">
        <w:rPr>
          <w:b/>
          <w:sz w:val="20"/>
          <w:szCs w:val="20"/>
          <w:lang w:val="cs-CZ"/>
        </w:rPr>
        <w:t>Poznámky k měření Ri</w:t>
      </w:r>
    </w:p>
    <w:p w:rsidR="00F57C70" w:rsidRDefault="00404777" w:rsidP="00775BF4">
      <w:pPr>
        <w:pStyle w:val="Bezmez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</w:t>
      </w:r>
    </w:p>
    <w:p w:rsidR="00F57C70" w:rsidRDefault="009A1AF9" w:rsidP="00775BF4">
      <w:pPr>
        <w:pStyle w:val="Bezmez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</w:t>
      </w:r>
      <w:r w:rsidRPr="009A1AF9">
        <w:rPr>
          <w:sz w:val="20"/>
          <w:szCs w:val="20"/>
          <w:lang w:val="cs-CZ"/>
        </w:rPr>
        <w:t xml:space="preserve">  Jak dále uvidíme</w:t>
      </w:r>
      <w:r w:rsidR="00F57C70">
        <w:rPr>
          <w:sz w:val="20"/>
          <w:szCs w:val="20"/>
          <w:lang w:val="cs-CZ"/>
        </w:rPr>
        <w:t>, (viz odst</w:t>
      </w:r>
      <w:r w:rsidR="00F57C70" w:rsidRPr="00F57C70">
        <w:rPr>
          <w:sz w:val="20"/>
          <w:szCs w:val="20"/>
          <w:lang w:val="cs-CZ"/>
        </w:rPr>
        <w:t>. 4/ Zjištění vnitřního odporu a Céčka z hodnot odečtených z</w:t>
      </w:r>
      <w:r w:rsidR="00F57C70">
        <w:rPr>
          <w:sz w:val="20"/>
          <w:szCs w:val="20"/>
          <w:lang w:val="cs-CZ"/>
        </w:rPr>
        <w:t> </w:t>
      </w:r>
      <w:r w:rsidR="00F57C70" w:rsidRPr="00F57C70">
        <w:rPr>
          <w:sz w:val="20"/>
          <w:szCs w:val="20"/>
          <w:lang w:val="cs-CZ"/>
        </w:rPr>
        <w:t>datallogeru</w:t>
      </w:r>
      <w:r w:rsidR="00F57C70">
        <w:rPr>
          <w:sz w:val="20"/>
          <w:szCs w:val="20"/>
          <w:lang w:val="cs-CZ"/>
        </w:rPr>
        <w:t xml:space="preserve">), tak hodnoty vnitřního </w:t>
      </w:r>
      <w:r w:rsidRPr="009A1AF9">
        <w:rPr>
          <w:sz w:val="20"/>
          <w:szCs w:val="20"/>
          <w:lang w:val="cs-CZ"/>
        </w:rPr>
        <w:t>odpor</w:t>
      </w:r>
      <w:r w:rsidR="00F57C70">
        <w:rPr>
          <w:sz w:val="20"/>
          <w:szCs w:val="20"/>
          <w:lang w:val="cs-CZ"/>
        </w:rPr>
        <w:t>u</w:t>
      </w:r>
      <w:r w:rsidRPr="009A1AF9">
        <w:rPr>
          <w:sz w:val="20"/>
          <w:szCs w:val="20"/>
          <w:lang w:val="cs-CZ"/>
        </w:rPr>
        <w:t xml:space="preserve"> aku a Céčk</w:t>
      </w:r>
      <w:r w:rsidR="00136067">
        <w:rPr>
          <w:sz w:val="20"/>
          <w:szCs w:val="20"/>
          <w:lang w:val="cs-CZ"/>
        </w:rPr>
        <w:t>a</w:t>
      </w:r>
      <w:r w:rsidRPr="009A1AF9">
        <w:rPr>
          <w:sz w:val="20"/>
          <w:szCs w:val="20"/>
          <w:lang w:val="cs-CZ"/>
        </w:rPr>
        <w:t xml:space="preserve"> platí jen pro velmi krátký časový úsek zatížení a potom vnitřní</w:t>
      </w:r>
      <w:r>
        <w:rPr>
          <w:sz w:val="20"/>
          <w:szCs w:val="20"/>
          <w:lang w:val="cs-CZ"/>
        </w:rPr>
        <w:t xml:space="preserve"> odpor </w:t>
      </w:r>
      <w:r w:rsidRPr="009A1AF9">
        <w:rPr>
          <w:sz w:val="20"/>
          <w:szCs w:val="20"/>
          <w:lang w:val="cs-CZ"/>
        </w:rPr>
        <w:t>stoupá a Céčko klesá. Za hlavní příčinu tohoto jevu můžeme považovat samotné</w:t>
      </w:r>
      <w:r>
        <w:rPr>
          <w:sz w:val="20"/>
          <w:szCs w:val="20"/>
          <w:lang w:val="cs-CZ"/>
        </w:rPr>
        <w:t xml:space="preserve"> </w:t>
      </w:r>
      <w:r w:rsidRPr="009A1AF9">
        <w:rPr>
          <w:sz w:val="20"/>
          <w:szCs w:val="20"/>
          <w:lang w:val="cs-CZ"/>
        </w:rPr>
        <w:t>rovnice pro výpočty Ri a Céčka (od</w:t>
      </w:r>
      <w:r w:rsidR="00F57C70">
        <w:rPr>
          <w:sz w:val="20"/>
          <w:szCs w:val="20"/>
          <w:lang w:val="cs-CZ"/>
        </w:rPr>
        <w:t xml:space="preserve"> konstantní ho</w:t>
      </w:r>
      <w:r w:rsidR="00F57C70">
        <w:rPr>
          <w:sz w:val="20"/>
          <w:szCs w:val="20"/>
          <w:lang w:val="cs-CZ"/>
        </w:rPr>
        <w:t>d</w:t>
      </w:r>
      <w:r w:rsidR="00F57C70">
        <w:rPr>
          <w:sz w:val="20"/>
          <w:szCs w:val="20"/>
          <w:lang w:val="cs-CZ"/>
        </w:rPr>
        <w:t>noty</w:t>
      </w:r>
      <w:r w:rsidRPr="009A1AF9">
        <w:rPr>
          <w:sz w:val="20"/>
          <w:szCs w:val="20"/>
          <w:lang w:val="cs-CZ"/>
        </w:rPr>
        <w:t xml:space="preserve"> </w:t>
      </w:r>
      <w:r w:rsidRPr="00B160FC">
        <w:rPr>
          <w:i/>
          <w:sz w:val="20"/>
          <w:szCs w:val="20"/>
          <w:lang w:val="cs-CZ"/>
        </w:rPr>
        <w:t>Unapr</w:t>
      </w:r>
      <w:r w:rsidRPr="009A1AF9">
        <w:rPr>
          <w:sz w:val="20"/>
          <w:szCs w:val="20"/>
          <w:lang w:val="cs-CZ"/>
        </w:rPr>
        <w:t xml:space="preserve"> odečítáme stále klesající </w:t>
      </w:r>
      <w:r w:rsidRPr="00B160FC">
        <w:rPr>
          <w:i/>
          <w:sz w:val="20"/>
          <w:szCs w:val="20"/>
          <w:lang w:val="cs-CZ"/>
        </w:rPr>
        <w:t>Uzat</w:t>
      </w:r>
      <w:r w:rsidRPr="009A1AF9">
        <w:rPr>
          <w:sz w:val="20"/>
          <w:szCs w:val="20"/>
          <w:lang w:val="cs-CZ"/>
        </w:rPr>
        <w:t>),</w:t>
      </w:r>
      <w:r w:rsidR="00F57C70">
        <w:rPr>
          <w:sz w:val="20"/>
          <w:szCs w:val="20"/>
          <w:lang w:val="cs-CZ"/>
        </w:rPr>
        <w:t xml:space="preserve"> vliv</w:t>
      </w:r>
      <w:r w:rsidRPr="009A1AF9">
        <w:rPr>
          <w:sz w:val="20"/>
          <w:szCs w:val="20"/>
          <w:lang w:val="cs-CZ"/>
        </w:rPr>
        <w:t xml:space="preserve"> vnitřní teplot</w:t>
      </w:r>
      <w:r w:rsidR="00F57C70">
        <w:rPr>
          <w:sz w:val="20"/>
          <w:szCs w:val="20"/>
          <w:lang w:val="cs-CZ"/>
        </w:rPr>
        <w:t>y</w:t>
      </w:r>
      <w:r w:rsidRPr="009A1AF9">
        <w:rPr>
          <w:sz w:val="20"/>
          <w:szCs w:val="20"/>
          <w:lang w:val="cs-CZ"/>
        </w:rPr>
        <w:t xml:space="preserve"> akumulátoru a elektrochemické pochody v aku. Pro m</w:t>
      </w:r>
      <w:r w:rsidRPr="009A1AF9">
        <w:rPr>
          <w:sz w:val="20"/>
          <w:szCs w:val="20"/>
          <w:lang w:val="cs-CZ"/>
        </w:rPr>
        <w:t>e</w:t>
      </w:r>
      <w:r w:rsidRPr="009A1AF9">
        <w:rPr>
          <w:sz w:val="20"/>
          <w:szCs w:val="20"/>
          <w:lang w:val="cs-CZ"/>
        </w:rPr>
        <w:t>todu měření Ri stejnosměrným proudem platí :</w:t>
      </w:r>
    </w:p>
    <w:p w:rsidR="00F57C70" w:rsidRDefault="00F57C70" w:rsidP="00775BF4">
      <w:pPr>
        <w:pStyle w:val="Bezmezer"/>
        <w:rPr>
          <w:sz w:val="20"/>
          <w:szCs w:val="20"/>
          <w:lang w:val="cs-CZ"/>
        </w:rPr>
      </w:pPr>
    </w:p>
    <w:p w:rsidR="00F57C70" w:rsidRDefault="009A1AF9" w:rsidP="00F57C70">
      <w:pPr>
        <w:spacing w:after="0" w:line="240" w:lineRule="auto"/>
        <w:rPr>
          <w:sz w:val="20"/>
          <w:szCs w:val="20"/>
        </w:rPr>
      </w:pPr>
      <w:r w:rsidRPr="00F57C70">
        <w:rPr>
          <w:sz w:val="20"/>
          <w:szCs w:val="20"/>
        </w:rPr>
        <w:t xml:space="preserve">    Ri = (Ubat naprázdno - Ubat v zatížení) / proud v zatížení [Ω; V, V, A], nebo také Ri = (Rzat * (Unapr - Uzat)) / Uzat </w:t>
      </w:r>
    </w:p>
    <w:p w:rsidR="009A1AF9" w:rsidRPr="00F57C70" w:rsidRDefault="00F57C70" w:rsidP="00F57C7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A1AF9" w:rsidRPr="00F57C70">
        <w:rPr>
          <w:sz w:val="20"/>
          <w:szCs w:val="20"/>
        </w:rPr>
        <w:t>[Ω; Ω, V,V,V].</w:t>
      </w:r>
    </w:p>
    <w:p w:rsidR="004F68DD" w:rsidRDefault="004F68DD" w:rsidP="00775BF4">
      <w:pPr>
        <w:pStyle w:val="Bezmez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</w:t>
      </w:r>
      <w:r w:rsidRPr="004F68DD">
        <w:rPr>
          <w:sz w:val="20"/>
          <w:szCs w:val="20"/>
          <w:lang w:val="cs-CZ"/>
        </w:rPr>
        <w:t xml:space="preserve">     Ke zjištění závislosti vnitřního odporu na velikosti napětí </w:t>
      </w:r>
      <w:r w:rsidR="00A6693A">
        <w:rPr>
          <w:sz w:val="20"/>
          <w:szCs w:val="20"/>
          <w:lang w:val="cs-CZ"/>
        </w:rPr>
        <w:t xml:space="preserve">a zatěžovacím proudu </w:t>
      </w:r>
      <w:r w:rsidRPr="004F68DD">
        <w:rPr>
          <w:sz w:val="20"/>
          <w:szCs w:val="20"/>
          <w:lang w:val="cs-CZ"/>
        </w:rPr>
        <w:t>byl použit aku LiPol GensAce 2600 mAh, C=25, který je používán od srpna 2013</w:t>
      </w:r>
      <w:r w:rsidR="00A33A95">
        <w:rPr>
          <w:sz w:val="20"/>
          <w:szCs w:val="20"/>
          <w:lang w:val="cs-CZ"/>
        </w:rPr>
        <w:t>.</w:t>
      </w:r>
      <w:r w:rsidR="00A6693A">
        <w:rPr>
          <w:sz w:val="20"/>
          <w:szCs w:val="20"/>
          <w:lang w:val="cs-CZ"/>
        </w:rPr>
        <w:t xml:space="preserve"> Kapacitní zkouškou bylo zjištěno, že jeho kapacita je 2574 mAh a aku je schopný dalších testů.</w:t>
      </w:r>
    </w:p>
    <w:p w:rsidR="004F68DD" w:rsidRDefault="004F68DD" w:rsidP="0094373B">
      <w:pPr>
        <w:pStyle w:val="Bezmezer"/>
        <w:rPr>
          <w:lang w:val="cs-CZ"/>
        </w:rPr>
      </w:pPr>
    </w:p>
    <w:p w:rsidR="00ED51D8" w:rsidRDefault="00267206" w:rsidP="0094373B">
      <w:pPr>
        <w:pStyle w:val="Bezmezer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1</w:t>
      </w:r>
      <w:r w:rsidR="00ED51D8" w:rsidRPr="00ED51D8">
        <w:rPr>
          <w:b/>
          <w:sz w:val="20"/>
          <w:szCs w:val="20"/>
          <w:lang w:val="cs-CZ"/>
        </w:rPr>
        <w:t>/ Závislost Ri na napětí aku</w:t>
      </w:r>
      <w:r w:rsidR="00ED51D8">
        <w:rPr>
          <w:b/>
          <w:sz w:val="20"/>
          <w:szCs w:val="20"/>
          <w:lang w:val="cs-CZ"/>
        </w:rPr>
        <w:t xml:space="preserve"> </w:t>
      </w:r>
      <w:r w:rsidR="00FF37C5">
        <w:rPr>
          <w:b/>
          <w:sz w:val="20"/>
          <w:szCs w:val="20"/>
          <w:lang w:val="cs-CZ"/>
        </w:rPr>
        <w:t>naprázdno</w:t>
      </w:r>
    </w:p>
    <w:p w:rsidR="00ED51D8" w:rsidRDefault="00ED51D8" w:rsidP="0094373B">
      <w:pPr>
        <w:pStyle w:val="Bezmezer"/>
        <w:rPr>
          <w:b/>
          <w:sz w:val="20"/>
          <w:szCs w:val="20"/>
          <w:lang w:val="cs-CZ"/>
        </w:rPr>
      </w:pPr>
    </w:p>
    <w:p w:rsidR="00BD5A0C" w:rsidRDefault="00ED51D8" w:rsidP="0094373B">
      <w:pPr>
        <w:pStyle w:val="Bezmezer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    Z</w:t>
      </w:r>
      <w:r w:rsidRPr="00ED51D8">
        <w:rPr>
          <w:sz w:val="20"/>
          <w:szCs w:val="20"/>
          <w:lang w:val="cs-CZ"/>
        </w:rPr>
        <w:t xml:space="preserve">kouška </w:t>
      </w:r>
      <w:r>
        <w:rPr>
          <w:sz w:val="20"/>
          <w:szCs w:val="20"/>
          <w:lang w:val="cs-CZ"/>
        </w:rPr>
        <w:t xml:space="preserve">byla </w:t>
      </w:r>
      <w:r w:rsidRPr="00ED51D8">
        <w:rPr>
          <w:sz w:val="20"/>
          <w:szCs w:val="20"/>
          <w:lang w:val="cs-CZ"/>
        </w:rPr>
        <w:t>provedena ve dnech 16. až 20.10.2018, teplota okolí t</w:t>
      </w:r>
      <w:r w:rsidR="00FF37C5">
        <w:rPr>
          <w:sz w:val="20"/>
          <w:szCs w:val="20"/>
          <w:lang w:val="cs-CZ"/>
        </w:rPr>
        <w:t xml:space="preserve"> </w:t>
      </w:r>
      <w:r w:rsidRPr="00ED51D8">
        <w:rPr>
          <w:sz w:val="20"/>
          <w:szCs w:val="20"/>
          <w:lang w:val="cs-CZ"/>
        </w:rPr>
        <w:t>=</w:t>
      </w:r>
      <w:r w:rsidR="00FF37C5">
        <w:rPr>
          <w:sz w:val="20"/>
          <w:szCs w:val="20"/>
          <w:lang w:val="cs-CZ"/>
        </w:rPr>
        <w:t xml:space="preserve"> </w:t>
      </w:r>
      <w:r w:rsidRPr="00ED51D8">
        <w:rPr>
          <w:sz w:val="20"/>
          <w:szCs w:val="20"/>
          <w:lang w:val="cs-CZ"/>
        </w:rPr>
        <w:t>22,1 až 23,2 °C</w:t>
      </w:r>
      <w:r>
        <w:rPr>
          <w:sz w:val="20"/>
          <w:szCs w:val="20"/>
          <w:lang w:val="cs-CZ"/>
        </w:rPr>
        <w:t xml:space="preserve">. </w:t>
      </w:r>
      <w:r w:rsidRPr="00ED51D8">
        <w:rPr>
          <w:sz w:val="20"/>
          <w:szCs w:val="20"/>
          <w:lang w:val="cs-CZ"/>
        </w:rPr>
        <w:t xml:space="preserve">Použité měřicí </w:t>
      </w:r>
      <w:r w:rsidR="00BD5A0C" w:rsidRPr="00ED51D8">
        <w:rPr>
          <w:sz w:val="20"/>
          <w:szCs w:val="20"/>
          <w:lang w:val="cs-CZ"/>
        </w:rPr>
        <w:t>přístroje: Datalogger</w:t>
      </w:r>
      <w:r w:rsidRPr="00ED51D8">
        <w:rPr>
          <w:sz w:val="20"/>
          <w:szCs w:val="20"/>
          <w:lang w:val="cs-CZ"/>
        </w:rPr>
        <w:t xml:space="preserve"> UnILog2 (</w:t>
      </w:r>
      <w:r w:rsidR="00BD5A0C" w:rsidRPr="00ED51D8">
        <w:rPr>
          <w:sz w:val="20"/>
          <w:szCs w:val="20"/>
          <w:lang w:val="cs-CZ"/>
        </w:rPr>
        <w:t>tř. 1%</w:t>
      </w:r>
      <w:r w:rsidRPr="00ED51D8">
        <w:rPr>
          <w:sz w:val="20"/>
          <w:szCs w:val="20"/>
          <w:lang w:val="cs-CZ"/>
        </w:rPr>
        <w:t xml:space="preserve">), teploměr </w:t>
      </w:r>
      <w:r w:rsidR="00BD5A0C" w:rsidRPr="00ED51D8">
        <w:rPr>
          <w:sz w:val="20"/>
          <w:szCs w:val="20"/>
          <w:lang w:val="cs-CZ"/>
        </w:rPr>
        <w:t>labor</w:t>
      </w:r>
      <w:r w:rsidR="00BD5A0C">
        <w:rPr>
          <w:sz w:val="20"/>
          <w:szCs w:val="20"/>
          <w:lang w:val="cs-CZ"/>
        </w:rPr>
        <w:t xml:space="preserve">atorní </w:t>
      </w:r>
      <w:r w:rsidR="00BD5A0C" w:rsidRPr="00ED51D8">
        <w:rPr>
          <w:sz w:val="20"/>
          <w:szCs w:val="20"/>
          <w:lang w:val="cs-CZ"/>
        </w:rPr>
        <w:t>(±0,2</w:t>
      </w:r>
      <w:r w:rsidRPr="00ED51D8">
        <w:rPr>
          <w:sz w:val="20"/>
          <w:szCs w:val="20"/>
          <w:lang w:val="cs-CZ"/>
        </w:rPr>
        <w:t xml:space="preserve"> °C), zatěžovací odpor 0,9863 Ω.</w:t>
      </w:r>
    </w:p>
    <w:p w:rsidR="00BD5A0C" w:rsidRDefault="00BD5A0C" w:rsidP="0094373B">
      <w:pPr>
        <w:pStyle w:val="Bezmezer"/>
        <w:rPr>
          <w:sz w:val="20"/>
          <w:szCs w:val="20"/>
          <w:lang w:val="cs-CZ"/>
        </w:rPr>
      </w:pPr>
    </w:p>
    <w:p w:rsidR="00BD5A0C" w:rsidRDefault="00A60B9B" w:rsidP="0094373B">
      <w:pPr>
        <w:pStyle w:val="Bezmez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</w:t>
      </w:r>
      <w:r w:rsidRPr="00BF65C8">
        <w:rPr>
          <w:sz w:val="20"/>
          <w:szCs w:val="20"/>
          <w:u w:val="single"/>
          <w:lang w:val="cs-CZ"/>
        </w:rPr>
        <w:t>Poznámk</w:t>
      </w:r>
      <w:r w:rsidR="00BF65C8" w:rsidRPr="00BF65C8">
        <w:rPr>
          <w:sz w:val="20"/>
          <w:szCs w:val="20"/>
          <w:u w:val="single"/>
          <w:lang w:val="cs-CZ"/>
        </w:rPr>
        <w:t>y</w:t>
      </w:r>
      <w:r w:rsidRPr="00A60B9B">
        <w:rPr>
          <w:sz w:val="20"/>
          <w:szCs w:val="20"/>
          <w:lang w:val="cs-CZ"/>
        </w:rPr>
        <w:t xml:space="preserve">: Přesnost dataloggeru je daná ke konvenčně pravé hodnotě. V našem případě se však jedná o chybu </w:t>
      </w:r>
    </w:p>
    <w:p w:rsidR="00BF65C8" w:rsidRDefault="00BD5A0C" w:rsidP="0094373B">
      <w:pPr>
        <w:pStyle w:val="Bezmez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</w:t>
      </w:r>
      <w:r w:rsidR="00A60B9B" w:rsidRPr="00A60B9B">
        <w:rPr>
          <w:sz w:val="20"/>
          <w:szCs w:val="20"/>
          <w:lang w:val="cs-CZ"/>
        </w:rPr>
        <w:t>linearity napětí, která je podstatně menší</w:t>
      </w:r>
      <w:r w:rsidR="0067761F">
        <w:rPr>
          <w:sz w:val="20"/>
          <w:szCs w:val="20"/>
          <w:lang w:val="cs-CZ"/>
        </w:rPr>
        <w:t>, ale výrobcem neuváděná.</w:t>
      </w:r>
    </w:p>
    <w:p w:rsidR="00BD5A0C" w:rsidRDefault="00BF65C8" w:rsidP="0094373B">
      <w:pPr>
        <w:pStyle w:val="Bezmez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</w:t>
      </w:r>
      <w:r w:rsidR="00BD5A0C">
        <w:rPr>
          <w:sz w:val="20"/>
          <w:szCs w:val="20"/>
          <w:lang w:val="cs-CZ"/>
        </w:rPr>
        <w:t xml:space="preserve">   </w:t>
      </w:r>
      <w:r>
        <w:rPr>
          <w:sz w:val="20"/>
          <w:szCs w:val="20"/>
          <w:lang w:val="cs-CZ"/>
        </w:rPr>
        <w:t>N</w:t>
      </w:r>
      <w:r w:rsidR="00A60B9B" w:rsidRPr="00A60B9B">
        <w:rPr>
          <w:sz w:val="20"/>
          <w:szCs w:val="20"/>
          <w:lang w:val="cs-CZ"/>
        </w:rPr>
        <w:t>abíjení bylo prováděno proudem 300 mA</w:t>
      </w:r>
      <w:r w:rsidR="00B160FC">
        <w:rPr>
          <w:sz w:val="20"/>
          <w:szCs w:val="20"/>
          <w:lang w:val="cs-CZ"/>
        </w:rPr>
        <w:t xml:space="preserve"> od nejnižší hodnoty</w:t>
      </w:r>
      <w:r w:rsidR="00827CA6">
        <w:rPr>
          <w:sz w:val="20"/>
          <w:szCs w:val="20"/>
          <w:lang w:val="cs-CZ"/>
        </w:rPr>
        <w:t>,</w:t>
      </w:r>
      <w:r w:rsidR="00A60B9B" w:rsidRPr="00A60B9B">
        <w:rPr>
          <w:sz w:val="20"/>
          <w:szCs w:val="20"/>
          <w:lang w:val="cs-CZ"/>
        </w:rPr>
        <w:t xml:space="preserve"> aby se aku příliš nezahřál</w:t>
      </w:r>
      <w:r w:rsidR="00B160FC">
        <w:rPr>
          <w:sz w:val="20"/>
          <w:szCs w:val="20"/>
          <w:lang w:val="cs-CZ"/>
        </w:rPr>
        <w:t>,</w:t>
      </w:r>
      <w:r w:rsidR="00827CA6">
        <w:rPr>
          <w:sz w:val="20"/>
          <w:szCs w:val="20"/>
          <w:lang w:val="cs-CZ"/>
        </w:rPr>
        <w:t xml:space="preserve"> </w:t>
      </w:r>
      <w:r w:rsidR="00A60B9B" w:rsidRPr="00A60B9B">
        <w:rPr>
          <w:sz w:val="20"/>
          <w:szCs w:val="20"/>
          <w:lang w:val="cs-CZ"/>
        </w:rPr>
        <w:t>a po dosažení potřeb</w:t>
      </w:r>
      <w:r w:rsidR="00BD5A0C">
        <w:rPr>
          <w:sz w:val="20"/>
          <w:szCs w:val="20"/>
          <w:lang w:val="cs-CZ"/>
        </w:rPr>
        <w:t>-</w:t>
      </w:r>
    </w:p>
    <w:p w:rsidR="00A60B9B" w:rsidRDefault="00BD5A0C" w:rsidP="0094373B">
      <w:pPr>
        <w:pStyle w:val="Bezmez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</w:t>
      </w:r>
      <w:r w:rsidR="00A60B9B" w:rsidRPr="00A60B9B">
        <w:rPr>
          <w:sz w:val="20"/>
          <w:szCs w:val="20"/>
          <w:lang w:val="cs-CZ"/>
        </w:rPr>
        <w:t>ného napětí byl aku v klidu po dobu cca 30 minut.</w:t>
      </w:r>
    </w:p>
    <w:p w:rsidR="00BD5A0C" w:rsidRDefault="00A33A95" w:rsidP="0094373B">
      <w:pPr>
        <w:pStyle w:val="Bezmez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Z naměřených hodnot byly hodnoty napětí do tabulky</w:t>
      </w:r>
      <w:r w:rsidRPr="0067761F">
        <w:rPr>
          <w:sz w:val="20"/>
          <w:szCs w:val="20"/>
          <w:lang w:val="cs-CZ"/>
        </w:rPr>
        <w:t xml:space="preserve"> lineárně interpolovány tak, aby v grafu byly uvedeny po 0,2 V.</w:t>
      </w:r>
    </w:p>
    <w:p w:rsidR="00A33A95" w:rsidRDefault="00BD5A0C" w:rsidP="0094373B">
      <w:pPr>
        <w:pStyle w:val="Bezmez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</w:t>
      </w:r>
      <w:r w:rsidR="00A33A95" w:rsidRPr="0067761F">
        <w:rPr>
          <w:sz w:val="20"/>
          <w:szCs w:val="20"/>
          <w:lang w:val="cs-CZ"/>
        </w:rPr>
        <w:t xml:space="preserve"> "Vyhlazený" průběh Ri a Céčka v závislosti na napětí aku je zobrazen čerchovanou čarou</w:t>
      </w:r>
      <w:r w:rsidR="00A33A95">
        <w:rPr>
          <w:sz w:val="20"/>
          <w:szCs w:val="20"/>
          <w:lang w:val="cs-CZ"/>
        </w:rPr>
        <w:t>,</w:t>
      </w:r>
      <w:r w:rsidR="00A33A95" w:rsidRPr="0067761F">
        <w:rPr>
          <w:sz w:val="20"/>
          <w:szCs w:val="20"/>
          <w:lang w:val="cs-CZ"/>
        </w:rPr>
        <w:t xml:space="preserve"> (polynomem 3. řádu).</w:t>
      </w:r>
    </w:p>
    <w:p w:rsidR="00FC720D" w:rsidRPr="00306B03" w:rsidRDefault="00FC720D" w:rsidP="0094373B">
      <w:pPr>
        <w:pStyle w:val="Bezmezer"/>
        <w:rPr>
          <w:rFonts w:cstheme="minorHAnsi"/>
          <w:noProof/>
          <w:sz w:val="18"/>
          <w:szCs w:val="18"/>
          <w:lang w:val="cs-CZ" w:eastAsia="cs-CZ" w:bidi="ar-SA"/>
        </w:rPr>
      </w:pPr>
      <w:r>
        <w:rPr>
          <w:sz w:val="20"/>
          <w:szCs w:val="20"/>
          <w:lang w:val="cs-CZ"/>
        </w:rPr>
        <w:t xml:space="preserve">   </w:t>
      </w:r>
    </w:p>
    <w:tbl>
      <w:tblPr>
        <w:tblStyle w:val="Mkatabulky"/>
        <w:tblW w:w="10350" w:type="dxa"/>
        <w:tblLook w:val="04A0"/>
      </w:tblPr>
      <w:tblGrid>
        <w:gridCol w:w="1150"/>
        <w:gridCol w:w="1150"/>
        <w:gridCol w:w="1150"/>
        <w:gridCol w:w="1150"/>
        <w:gridCol w:w="1150"/>
        <w:gridCol w:w="1150"/>
        <w:gridCol w:w="1150"/>
        <w:gridCol w:w="1150"/>
        <w:gridCol w:w="1150"/>
      </w:tblGrid>
      <w:tr w:rsidR="00FC720D" w:rsidTr="0067761F">
        <w:trPr>
          <w:trHeight w:val="322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720D" w:rsidRDefault="00FC720D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 xml:space="preserve"> [V]</w:t>
            </w:r>
          </w:p>
        </w:tc>
        <w:tc>
          <w:tcPr>
            <w:tcW w:w="11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720D" w:rsidRPr="00FC720D" w:rsidRDefault="00FC720D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</w:t>
            </w:r>
            <w:r>
              <w:rPr>
                <w:sz w:val="16"/>
                <w:szCs w:val="16"/>
                <w:lang w:val="cs-CZ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[</w:t>
            </w:r>
            <w:r>
              <w:rPr>
                <w:rFonts w:ascii="Times New Roman" w:hAnsi="Times New Roman" w:cs="Times New Roman"/>
                <w:sz w:val="16"/>
                <w:szCs w:val="16"/>
                <w:lang w:val="cs-CZ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Ω]</w:t>
            </w:r>
          </w:p>
        </w:tc>
        <w:tc>
          <w:tcPr>
            <w:tcW w:w="11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20D" w:rsidRDefault="00FC720D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Céčko </w:t>
            </w: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[</w:t>
            </w:r>
            <w:r>
              <w:rPr>
                <w:sz w:val="20"/>
                <w:szCs w:val="20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]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720D" w:rsidRDefault="00FC720D" w:rsidP="006C280E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 xml:space="preserve"> [V]</w:t>
            </w:r>
          </w:p>
        </w:tc>
        <w:tc>
          <w:tcPr>
            <w:tcW w:w="11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720D" w:rsidRPr="00FC720D" w:rsidRDefault="00FC720D" w:rsidP="006C280E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</w:t>
            </w:r>
            <w:r>
              <w:rPr>
                <w:sz w:val="16"/>
                <w:szCs w:val="16"/>
                <w:lang w:val="cs-CZ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[</w:t>
            </w:r>
            <w:r>
              <w:rPr>
                <w:rFonts w:ascii="Times New Roman" w:hAnsi="Times New Roman" w:cs="Times New Roman"/>
                <w:sz w:val="16"/>
                <w:szCs w:val="16"/>
                <w:lang w:val="cs-CZ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Ω]</w:t>
            </w:r>
          </w:p>
        </w:tc>
        <w:tc>
          <w:tcPr>
            <w:tcW w:w="11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20D" w:rsidRDefault="00FC720D" w:rsidP="006C280E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Céčko </w:t>
            </w: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[</w:t>
            </w:r>
            <w:r>
              <w:rPr>
                <w:sz w:val="20"/>
                <w:szCs w:val="20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]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720D" w:rsidRDefault="00FC720D" w:rsidP="006C280E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 xml:space="preserve"> [V]</w:t>
            </w:r>
          </w:p>
        </w:tc>
        <w:tc>
          <w:tcPr>
            <w:tcW w:w="11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720D" w:rsidRPr="00FC720D" w:rsidRDefault="00FC720D" w:rsidP="006C280E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</w:t>
            </w:r>
            <w:r>
              <w:rPr>
                <w:sz w:val="16"/>
                <w:szCs w:val="16"/>
                <w:lang w:val="cs-CZ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[</w:t>
            </w:r>
            <w:r>
              <w:rPr>
                <w:rFonts w:ascii="Times New Roman" w:hAnsi="Times New Roman" w:cs="Times New Roman"/>
                <w:sz w:val="16"/>
                <w:szCs w:val="16"/>
                <w:lang w:val="cs-CZ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Ω]</w:t>
            </w:r>
          </w:p>
        </w:tc>
        <w:tc>
          <w:tcPr>
            <w:tcW w:w="11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20D" w:rsidRDefault="00FC720D" w:rsidP="006C280E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Céčko </w:t>
            </w: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[</w:t>
            </w:r>
            <w:r>
              <w:rPr>
                <w:sz w:val="20"/>
                <w:szCs w:val="20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]</w:t>
            </w:r>
          </w:p>
        </w:tc>
      </w:tr>
      <w:tr w:rsidR="00FC720D" w:rsidTr="0067761F">
        <w:trPr>
          <w:trHeight w:val="322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720D" w:rsidRDefault="00FC720D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12,5</w:t>
            </w:r>
          </w:p>
        </w:tc>
        <w:tc>
          <w:tcPr>
            <w:tcW w:w="1150" w:type="dxa"/>
            <w:tcBorders>
              <w:top w:val="single" w:sz="12" w:space="0" w:color="auto"/>
            </w:tcBorders>
            <w:vAlign w:val="center"/>
          </w:tcPr>
          <w:p w:rsidR="00FC720D" w:rsidRDefault="0067761F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13,3</w:t>
            </w:r>
          </w:p>
        </w:tc>
        <w:tc>
          <w:tcPr>
            <w:tcW w:w="11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720D" w:rsidRDefault="0067761F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32,1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720D" w:rsidRDefault="00FC720D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11,3</w:t>
            </w:r>
          </w:p>
        </w:tc>
        <w:tc>
          <w:tcPr>
            <w:tcW w:w="1150" w:type="dxa"/>
            <w:tcBorders>
              <w:top w:val="single" w:sz="12" w:space="0" w:color="auto"/>
            </w:tcBorders>
            <w:vAlign w:val="center"/>
          </w:tcPr>
          <w:p w:rsidR="00FC720D" w:rsidRDefault="0067761F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17,1</w:t>
            </w:r>
          </w:p>
        </w:tc>
        <w:tc>
          <w:tcPr>
            <w:tcW w:w="11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720D" w:rsidRDefault="0067761F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25,0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720D" w:rsidRDefault="00FC720D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10,3</w:t>
            </w:r>
          </w:p>
        </w:tc>
        <w:tc>
          <w:tcPr>
            <w:tcW w:w="1150" w:type="dxa"/>
            <w:tcBorders>
              <w:top w:val="single" w:sz="12" w:space="0" w:color="auto"/>
            </w:tcBorders>
            <w:vAlign w:val="center"/>
          </w:tcPr>
          <w:p w:rsidR="00FC720D" w:rsidRDefault="0067761F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21,7</w:t>
            </w:r>
          </w:p>
        </w:tc>
        <w:tc>
          <w:tcPr>
            <w:tcW w:w="11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720D" w:rsidRDefault="0067761F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19,7</w:t>
            </w:r>
          </w:p>
        </w:tc>
      </w:tr>
      <w:tr w:rsidR="00FC720D" w:rsidTr="0067761F">
        <w:trPr>
          <w:trHeight w:val="322"/>
        </w:trPr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FC720D" w:rsidRDefault="00FC720D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12,3</w:t>
            </w:r>
          </w:p>
        </w:tc>
        <w:tc>
          <w:tcPr>
            <w:tcW w:w="1150" w:type="dxa"/>
            <w:vAlign w:val="center"/>
          </w:tcPr>
          <w:p w:rsidR="00FC720D" w:rsidRDefault="0067761F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13,9</w:t>
            </w:r>
          </w:p>
        </w:tc>
        <w:tc>
          <w:tcPr>
            <w:tcW w:w="1150" w:type="dxa"/>
            <w:tcBorders>
              <w:right w:val="single" w:sz="12" w:space="0" w:color="auto"/>
            </w:tcBorders>
            <w:vAlign w:val="center"/>
          </w:tcPr>
          <w:p w:rsidR="00FC720D" w:rsidRDefault="0067761F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30,7</w:t>
            </w:r>
          </w:p>
        </w:tc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FC720D" w:rsidRDefault="00FC720D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11,1</w:t>
            </w:r>
          </w:p>
        </w:tc>
        <w:tc>
          <w:tcPr>
            <w:tcW w:w="1150" w:type="dxa"/>
            <w:vAlign w:val="center"/>
          </w:tcPr>
          <w:p w:rsidR="00FC720D" w:rsidRDefault="0067761F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18,1</w:t>
            </w:r>
          </w:p>
        </w:tc>
        <w:tc>
          <w:tcPr>
            <w:tcW w:w="1150" w:type="dxa"/>
            <w:tcBorders>
              <w:right w:val="single" w:sz="12" w:space="0" w:color="auto"/>
            </w:tcBorders>
            <w:vAlign w:val="center"/>
          </w:tcPr>
          <w:p w:rsidR="00FC720D" w:rsidRDefault="0067761F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23,6</w:t>
            </w:r>
          </w:p>
        </w:tc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FC720D" w:rsidRDefault="00FC720D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10,1</w:t>
            </w:r>
          </w:p>
        </w:tc>
        <w:tc>
          <w:tcPr>
            <w:tcW w:w="1150" w:type="dxa"/>
            <w:vAlign w:val="center"/>
          </w:tcPr>
          <w:p w:rsidR="00FC720D" w:rsidRDefault="0067761F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23,0</w:t>
            </w:r>
          </w:p>
        </w:tc>
        <w:tc>
          <w:tcPr>
            <w:tcW w:w="1150" w:type="dxa"/>
            <w:tcBorders>
              <w:right w:val="single" w:sz="12" w:space="0" w:color="auto"/>
            </w:tcBorders>
            <w:vAlign w:val="center"/>
          </w:tcPr>
          <w:p w:rsidR="00FC720D" w:rsidRDefault="0067761F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18,6</w:t>
            </w:r>
          </w:p>
        </w:tc>
      </w:tr>
      <w:tr w:rsidR="00FC720D" w:rsidTr="0067761F">
        <w:trPr>
          <w:trHeight w:val="322"/>
        </w:trPr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FC720D" w:rsidRDefault="00FC720D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12,1</w:t>
            </w:r>
          </w:p>
        </w:tc>
        <w:tc>
          <w:tcPr>
            <w:tcW w:w="1150" w:type="dxa"/>
            <w:vAlign w:val="center"/>
          </w:tcPr>
          <w:p w:rsidR="00FC720D" w:rsidRDefault="0067761F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13,8</w:t>
            </w:r>
          </w:p>
        </w:tc>
        <w:tc>
          <w:tcPr>
            <w:tcW w:w="1150" w:type="dxa"/>
            <w:tcBorders>
              <w:right w:val="single" w:sz="12" w:space="0" w:color="auto"/>
            </w:tcBorders>
            <w:vAlign w:val="center"/>
          </w:tcPr>
          <w:p w:rsidR="00FC720D" w:rsidRDefault="0067761F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30,9</w:t>
            </w:r>
          </w:p>
        </w:tc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FC720D" w:rsidRDefault="00FC720D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10,9</w:t>
            </w:r>
          </w:p>
        </w:tc>
        <w:tc>
          <w:tcPr>
            <w:tcW w:w="1150" w:type="dxa"/>
            <w:vAlign w:val="center"/>
          </w:tcPr>
          <w:p w:rsidR="00FC720D" w:rsidRDefault="0067761F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19,2</w:t>
            </w:r>
          </w:p>
        </w:tc>
        <w:tc>
          <w:tcPr>
            <w:tcW w:w="1150" w:type="dxa"/>
            <w:tcBorders>
              <w:right w:val="single" w:sz="12" w:space="0" w:color="auto"/>
            </w:tcBorders>
            <w:vAlign w:val="center"/>
          </w:tcPr>
          <w:p w:rsidR="00FC720D" w:rsidRDefault="0067761F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22,2</w:t>
            </w:r>
          </w:p>
        </w:tc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FC720D" w:rsidRDefault="00FC720D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9,9</w:t>
            </w:r>
          </w:p>
        </w:tc>
        <w:tc>
          <w:tcPr>
            <w:tcW w:w="1150" w:type="dxa"/>
            <w:vAlign w:val="center"/>
          </w:tcPr>
          <w:p w:rsidR="00FC720D" w:rsidRDefault="0067761F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24,4</w:t>
            </w:r>
          </w:p>
        </w:tc>
        <w:tc>
          <w:tcPr>
            <w:tcW w:w="1150" w:type="dxa"/>
            <w:tcBorders>
              <w:right w:val="single" w:sz="12" w:space="0" w:color="auto"/>
            </w:tcBorders>
            <w:vAlign w:val="center"/>
          </w:tcPr>
          <w:p w:rsidR="00FC720D" w:rsidRDefault="0067761F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17,5</w:t>
            </w:r>
          </w:p>
        </w:tc>
      </w:tr>
      <w:tr w:rsidR="00FC720D" w:rsidTr="0067761F">
        <w:trPr>
          <w:trHeight w:val="322"/>
        </w:trPr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FC720D" w:rsidRDefault="00FC720D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11,9</w:t>
            </w:r>
          </w:p>
        </w:tc>
        <w:tc>
          <w:tcPr>
            <w:tcW w:w="1150" w:type="dxa"/>
            <w:vAlign w:val="center"/>
          </w:tcPr>
          <w:p w:rsidR="00FC720D" w:rsidRDefault="0067761F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14,0</w:t>
            </w:r>
          </w:p>
        </w:tc>
        <w:tc>
          <w:tcPr>
            <w:tcW w:w="1150" w:type="dxa"/>
            <w:tcBorders>
              <w:right w:val="single" w:sz="12" w:space="0" w:color="auto"/>
            </w:tcBorders>
            <w:vAlign w:val="center"/>
          </w:tcPr>
          <w:p w:rsidR="00FC720D" w:rsidRDefault="0067761F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30,5</w:t>
            </w:r>
          </w:p>
        </w:tc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FC720D" w:rsidRDefault="00FC720D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10,7</w:t>
            </w:r>
          </w:p>
        </w:tc>
        <w:tc>
          <w:tcPr>
            <w:tcW w:w="1150" w:type="dxa"/>
            <w:vAlign w:val="center"/>
          </w:tcPr>
          <w:p w:rsidR="00FC720D" w:rsidRDefault="0067761F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20,2</w:t>
            </w:r>
          </w:p>
        </w:tc>
        <w:tc>
          <w:tcPr>
            <w:tcW w:w="1150" w:type="dxa"/>
            <w:tcBorders>
              <w:right w:val="single" w:sz="12" w:space="0" w:color="auto"/>
            </w:tcBorders>
            <w:vAlign w:val="center"/>
          </w:tcPr>
          <w:p w:rsidR="00FC720D" w:rsidRDefault="0067761F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21,2</w:t>
            </w:r>
          </w:p>
        </w:tc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FC720D" w:rsidRDefault="00FC720D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9,7</w:t>
            </w:r>
          </w:p>
        </w:tc>
        <w:tc>
          <w:tcPr>
            <w:tcW w:w="1150" w:type="dxa"/>
            <w:vAlign w:val="center"/>
          </w:tcPr>
          <w:p w:rsidR="00FC720D" w:rsidRDefault="0067761F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25,1</w:t>
            </w:r>
          </w:p>
        </w:tc>
        <w:tc>
          <w:tcPr>
            <w:tcW w:w="1150" w:type="dxa"/>
            <w:tcBorders>
              <w:right w:val="single" w:sz="12" w:space="0" w:color="auto"/>
            </w:tcBorders>
            <w:vAlign w:val="center"/>
          </w:tcPr>
          <w:p w:rsidR="00FC720D" w:rsidRDefault="0067761F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17,0</w:t>
            </w:r>
          </w:p>
        </w:tc>
      </w:tr>
      <w:tr w:rsidR="00FC720D" w:rsidTr="0067761F">
        <w:trPr>
          <w:trHeight w:val="322"/>
        </w:trPr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FC720D" w:rsidRDefault="00FC720D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11,7</w:t>
            </w:r>
          </w:p>
        </w:tc>
        <w:tc>
          <w:tcPr>
            <w:tcW w:w="1150" w:type="dxa"/>
            <w:vAlign w:val="center"/>
          </w:tcPr>
          <w:p w:rsidR="00FC720D" w:rsidRDefault="0067761F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14,9</w:t>
            </w:r>
          </w:p>
        </w:tc>
        <w:tc>
          <w:tcPr>
            <w:tcW w:w="1150" w:type="dxa"/>
            <w:tcBorders>
              <w:right w:val="single" w:sz="12" w:space="0" w:color="auto"/>
            </w:tcBorders>
            <w:vAlign w:val="center"/>
          </w:tcPr>
          <w:p w:rsidR="00FC720D" w:rsidRDefault="0067761F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28,7</w:t>
            </w:r>
          </w:p>
        </w:tc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FC720D" w:rsidRDefault="00FC720D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10,5</w:t>
            </w:r>
          </w:p>
        </w:tc>
        <w:tc>
          <w:tcPr>
            <w:tcW w:w="1150" w:type="dxa"/>
            <w:vAlign w:val="center"/>
          </w:tcPr>
          <w:p w:rsidR="00FC720D" w:rsidRDefault="0067761F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20,6</w:t>
            </w:r>
          </w:p>
        </w:tc>
        <w:tc>
          <w:tcPr>
            <w:tcW w:w="1150" w:type="dxa"/>
            <w:tcBorders>
              <w:right w:val="single" w:sz="12" w:space="0" w:color="auto"/>
            </w:tcBorders>
            <w:vAlign w:val="center"/>
          </w:tcPr>
          <w:p w:rsidR="00FC720D" w:rsidRDefault="0067761F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20,4</w:t>
            </w:r>
          </w:p>
        </w:tc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:rsidR="00FC720D" w:rsidRDefault="00FC720D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9,5</w:t>
            </w:r>
          </w:p>
        </w:tc>
        <w:tc>
          <w:tcPr>
            <w:tcW w:w="1150" w:type="dxa"/>
            <w:vAlign w:val="center"/>
          </w:tcPr>
          <w:p w:rsidR="00FC720D" w:rsidRDefault="0067761F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26,7</w:t>
            </w:r>
          </w:p>
        </w:tc>
        <w:tc>
          <w:tcPr>
            <w:tcW w:w="1150" w:type="dxa"/>
            <w:tcBorders>
              <w:right w:val="single" w:sz="12" w:space="0" w:color="auto"/>
            </w:tcBorders>
            <w:vAlign w:val="center"/>
          </w:tcPr>
          <w:p w:rsidR="00FC720D" w:rsidRDefault="0067761F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16,3</w:t>
            </w:r>
          </w:p>
        </w:tc>
      </w:tr>
      <w:tr w:rsidR="00FC720D" w:rsidTr="00BF495C">
        <w:trPr>
          <w:trHeight w:val="344"/>
        </w:trPr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720D" w:rsidRDefault="0040127B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11,5</w:t>
            </w: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:rsidR="00FC720D" w:rsidRDefault="0040127B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15,7</w:t>
            </w:r>
          </w:p>
        </w:tc>
        <w:tc>
          <w:tcPr>
            <w:tcW w:w="11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720D" w:rsidRDefault="0040127B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27,2</w:t>
            </w:r>
          </w:p>
        </w:tc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720D" w:rsidRDefault="00FC720D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:rsidR="00FC720D" w:rsidRDefault="00FC720D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720D" w:rsidRDefault="00FC720D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720D" w:rsidRDefault="00FC720D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:rsidR="00FC720D" w:rsidRDefault="00FC720D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720D" w:rsidRDefault="00FC720D" w:rsidP="00FC720D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</w:p>
        </w:tc>
      </w:tr>
    </w:tbl>
    <w:p w:rsidR="005B507A" w:rsidRDefault="00CA5A94" w:rsidP="0094373B">
      <w:pPr>
        <w:pStyle w:val="Bezmezer"/>
        <w:rPr>
          <w:sz w:val="20"/>
          <w:szCs w:val="20"/>
          <w:lang w:val="cs-CZ"/>
        </w:rPr>
      </w:pPr>
      <w:r>
        <w:rPr>
          <w:noProof/>
          <w:sz w:val="20"/>
          <w:szCs w:val="20"/>
          <w:lang w:val="cs-CZ" w:eastAsia="cs-CZ" w:bidi="ar-SA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1.7pt;margin-top:229.75pt;width:507.75pt;height:.75pt;flip:y;z-index:251678720;mso-position-horizontal-relative:text;mso-position-vertical-relative:text" o:connectortype="straight"/>
        </w:pict>
      </w:r>
      <w:r w:rsidR="005B507A" w:rsidRPr="005B507A">
        <w:rPr>
          <w:noProof/>
          <w:sz w:val="20"/>
          <w:szCs w:val="20"/>
          <w:lang w:val="cs-CZ" w:eastAsia="cs-CZ" w:bidi="ar-SA"/>
        </w:rPr>
        <w:drawing>
          <wp:inline distT="0" distB="0" distL="0" distR="0">
            <wp:extent cx="6457950" cy="2933700"/>
            <wp:effectExtent l="19050" t="0" r="19050" b="0"/>
            <wp:docPr id="4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B507A" w:rsidRDefault="005B507A" w:rsidP="0094373B">
      <w:pPr>
        <w:pStyle w:val="Bezmezer"/>
        <w:rPr>
          <w:sz w:val="20"/>
          <w:szCs w:val="20"/>
          <w:lang w:val="cs-CZ"/>
        </w:rPr>
      </w:pPr>
    </w:p>
    <w:p w:rsidR="005B507A" w:rsidRDefault="00B160FC" w:rsidP="0094373B">
      <w:pPr>
        <w:pStyle w:val="Bezmez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</w:t>
      </w:r>
      <w:r w:rsidR="00A33A95">
        <w:rPr>
          <w:sz w:val="20"/>
          <w:szCs w:val="20"/>
          <w:lang w:val="cs-CZ"/>
        </w:rPr>
        <w:t xml:space="preserve">  Protože křivky </w:t>
      </w:r>
      <w:r w:rsidR="00C83C46">
        <w:rPr>
          <w:sz w:val="20"/>
          <w:szCs w:val="20"/>
          <w:lang w:val="cs-CZ"/>
        </w:rPr>
        <w:t>Ri a Céčka vynesené v grafu</w:t>
      </w:r>
      <w:r w:rsidR="00A33A95">
        <w:rPr>
          <w:sz w:val="20"/>
          <w:szCs w:val="20"/>
          <w:lang w:val="cs-CZ"/>
        </w:rPr>
        <w:t xml:space="preserve"> z</w:t>
      </w:r>
      <w:r w:rsidR="00C83C46">
        <w:rPr>
          <w:sz w:val="20"/>
          <w:szCs w:val="20"/>
          <w:lang w:val="cs-CZ"/>
        </w:rPr>
        <w:t> </w:t>
      </w:r>
      <w:r w:rsidR="00A33A95">
        <w:rPr>
          <w:sz w:val="20"/>
          <w:szCs w:val="20"/>
          <w:lang w:val="cs-CZ"/>
        </w:rPr>
        <w:t>měřených</w:t>
      </w:r>
      <w:r w:rsidR="00C83C46">
        <w:rPr>
          <w:sz w:val="20"/>
          <w:szCs w:val="20"/>
          <w:lang w:val="cs-CZ"/>
        </w:rPr>
        <w:t>, resp. interpolovaných</w:t>
      </w:r>
      <w:r w:rsidR="00A33A95">
        <w:rPr>
          <w:sz w:val="20"/>
          <w:szCs w:val="20"/>
          <w:lang w:val="cs-CZ"/>
        </w:rPr>
        <w:t xml:space="preserve"> hodnot </w:t>
      </w:r>
      <w:r w:rsidR="0067761F" w:rsidRPr="0067761F">
        <w:rPr>
          <w:sz w:val="20"/>
          <w:szCs w:val="20"/>
          <w:lang w:val="cs-CZ"/>
        </w:rPr>
        <w:t xml:space="preserve">nevytvořily </w:t>
      </w:r>
      <w:r w:rsidR="00C83C46">
        <w:rPr>
          <w:sz w:val="20"/>
          <w:szCs w:val="20"/>
          <w:lang w:val="cs-CZ"/>
        </w:rPr>
        <w:t>plynulý</w:t>
      </w:r>
      <w:r w:rsidR="0067761F" w:rsidRPr="0067761F">
        <w:rPr>
          <w:sz w:val="20"/>
          <w:szCs w:val="20"/>
          <w:lang w:val="cs-CZ"/>
        </w:rPr>
        <w:t xml:space="preserve"> průběh, </w:t>
      </w:r>
      <w:r w:rsidR="00BF495C">
        <w:rPr>
          <w:sz w:val="20"/>
          <w:szCs w:val="20"/>
          <w:lang w:val="cs-CZ"/>
        </w:rPr>
        <w:t xml:space="preserve">bylo </w:t>
      </w:r>
      <w:r w:rsidR="005A76F6">
        <w:rPr>
          <w:sz w:val="20"/>
          <w:szCs w:val="20"/>
          <w:lang w:val="cs-CZ"/>
        </w:rPr>
        <w:t>rozhodnuto o</w:t>
      </w:r>
      <w:r w:rsidR="0067761F" w:rsidRPr="0067761F">
        <w:rPr>
          <w:sz w:val="20"/>
          <w:szCs w:val="20"/>
          <w:lang w:val="cs-CZ"/>
        </w:rPr>
        <w:t xml:space="preserve"> zji</w:t>
      </w:r>
      <w:r w:rsidR="00BF495C">
        <w:rPr>
          <w:sz w:val="20"/>
          <w:szCs w:val="20"/>
          <w:lang w:val="cs-CZ"/>
        </w:rPr>
        <w:t xml:space="preserve">štění </w:t>
      </w:r>
      <w:r w:rsidR="0067761F" w:rsidRPr="0067761F">
        <w:rPr>
          <w:sz w:val="20"/>
          <w:szCs w:val="20"/>
          <w:lang w:val="cs-CZ"/>
        </w:rPr>
        <w:t>chyb</w:t>
      </w:r>
      <w:r w:rsidR="00BF495C">
        <w:rPr>
          <w:sz w:val="20"/>
          <w:szCs w:val="20"/>
          <w:lang w:val="cs-CZ"/>
        </w:rPr>
        <w:t>y</w:t>
      </w:r>
      <w:r w:rsidR="0067761F" w:rsidRPr="0067761F">
        <w:rPr>
          <w:sz w:val="20"/>
          <w:szCs w:val="20"/>
          <w:lang w:val="cs-CZ"/>
        </w:rPr>
        <w:t xml:space="preserve"> opakovatelnosti měření.</w:t>
      </w:r>
    </w:p>
    <w:p w:rsidR="00827CA6" w:rsidRDefault="00827CA6" w:rsidP="0094373B">
      <w:pPr>
        <w:pStyle w:val="Bezmezer"/>
        <w:rPr>
          <w:b/>
          <w:sz w:val="20"/>
          <w:szCs w:val="20"/>
          <w:lang w:val="cs-CZ"/>
        </w:rPr>
      </w:pPr>
    </w:p>
    <w:p w:rsidR="005B507A" w:rsidRPr="0067761F" w:rsidRDefault="00BF65C8" w:rsidP="0094373B">
      <w:pPr>
        <w:pStyle w:val="Bezmezer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2</w:t>
      </w:r>
      <w:r w:rsidR="0067761F" w:rsidRPr="0067761F">
        <w:rPr>
          <w:b/>
          <w:sz w:val="20"/>
          <w:szCs w:val="20"/>
          <w:lang w:val="cs-CZ"/>
        </w:rPr>
        <w:t>/ Statistické zjištění chyby opakovatelnosti, přibližně na stejné hodnotě napětí</w:t>
      </w:r>
    </w:p>
    <w:p w:rsidR="005B507A" w:rsidRDefault="005B507A" w:rsidP="0094373B">
      <w:pPr>
        <w:pStyle w:val="Bezmezer"/>
        <w:rPr>
          <w:sz w:val="20"/>
          <w:szCs w:val="20"/>
          <w:lang w:val="cs-CZ"/>
        </w:rPr>
      </w:pPr>
    </w:p>
    <w:p w:rsidR="005B507A" w:rsidRDefault="0067761F" w:rsidP="0094373B">
      <w:pPr>
        <w:pStyle w:val="Bezmezer"/>
        <w:rPr>
          <w:sz w:val="20"/>
          <w:szCs w:val="20"/>
          <w:lang w:val="cs-CZ"/>
        </w:rPr>
      </w:pPr>
      <w:r w:rsidRPr="0067761F">
        <w:rPr>
          <w:sz w:val="20"/>
          <w:szCs w:val="20"/>
          <w:lang w:val="cs-CZ"/>
        </w:rPr>
        <w:t xml:space="preserve">   Hodnota napětí byla zvolena cca 3,8V/čl. (Uaku = 11,4 V), nabíječka ve funkci "storage" a nastavený proud I=0,3 A. Po každém dobití (cca 3 až 4 mAh) byl aku v klidu cca 30 minut.</w:t>
      </w:r>
    </w:p>
    <w:p w:rsidR="00F513F8" w:rsidRPr="00ED51D8" w:rsidRDefault="00F513F8" w:rsidP="0094373B">
      <w:pPr>
        <w:pStyle w:val="Bezmez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</w:t>
      </w:r>
    </w:p>
    <w:tbl>
      <w:tblPr>
        <w:tblStyle w:val="Mkatabulky"/>
        <w:tblW w:w="0" w:type="auto"/>
        <w:tblLook w:val="04A0"/>
      </w:tblPr>
      <w:tblGrid>
        <w:gridCol w:w="1309"/>
        <w:gridCol w:w="1309"/>
        <w:gridCol w:w="1309"/>
        <w:gridCol w:w="1310"/>
        <w:gridCol w:w="1310"/>
        <w:gridCol w:w="1310"/>
        <w:gridCol w:w="1310"/>
        <w:gridCol w:w="1310"/>
      </w:tblGrid>
      <w:tr w:rsidR="00F513F8" w:rsidTr="00CA03B9">
        <w:trPr>
          <w:trHeight w:val="305"/>
        </w:trPr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13F8" w:rsidRDefault="00F513F8" w:rsidP="00F513F8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U</w:t>
            </w:r>
            <w:r>
              <w:rPr>
                <w:sz w:val="16"/>
                <w:szCs w:val="16"/>
                <w:lang w:val="cs-CZ"/>
              </w:rPr>
              <w:t xml:space="preserve">aku </w:t>
            </w: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[</w:t>
            </w:r>
            <w:r>
              <w:rPr>
                <w:sz w:val="20"/>
                <w:szCs w:val="20"/>
                <w:lang w:val="cs-CZ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]</w:t>
            </w:r>
            <w:r>
              <w:rPr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13F8" w:rsidRPr="00F513F8" w:rsidRDefault="00F513F8" w:rsidP="00F513F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</w:t>
            </w:r>
            <w:r>
              <w:rPr>
                <w:sz w:val="16"/>
                <w:szCs w:val="16"/>
                <w:lang w:val="cs-CZ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[</w:t>
            </w:r>
            <w:r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mΩ]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13F8" w:rsidRDefault="00F513F8" w:rsidP="00F513F8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Céčko </w:t>
            </w: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[</w:t>
            </w:r>
            <w:r>
              <w:rPr>
                <w:sz w:val="20"/>
                <w:szCs w:val="20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]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3F8" w:rsidRPr="00F513F8" w:rsidRDefault="00F513F8" w:rsidP="00F513F8">
            <w:pPr>
              <w:pStyle w:val="Bezmezer"/>
              <w:jc w:val="center"/>
              <w:rPr>
                <w:sz w:val="16"/>
                <w:szCs w:val="16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t</w:t>
            </w:r>
            <w:r>
              <w:rPr>
                <w:sz w:val="16"/>
                <w:szCs w:val="16"/>
                <w:lang w:val="cs-CZ"/>
              </w:rPr>
              <w:t xml:space="preserve">okolí </w:t>
            </w:r>
            <w:r w:rsidRPr="00F513F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[</w:t>
            </w:r>
            <w:r w:rsidRPr="00F513F8">
              <w:rPr>
                <w:sz w:val="20"/>
                <w:szCs w:val="20"/>
                <w:lang w:val="cs-CZ"/>
              </w:rPr>
              <w:t>°C</w:t>
            </w:r>
            <w:r w:rsidRPr="00F513F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]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13F8" w:rsidRDefault="00F513F8" w:rsidP="006C280E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U</w:t>
            </w:r>
            <w:r>
              <w:rPr>
                <w:sz w:val="16"/>
                <w:szCs w:val="16"/>
                <w:lang w:val="cs-CZ"/>
              </w:rPr>
              <w:t xml:space="preserve">aku </w:t>
            </w: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[</w:t>
            </w:r>
            <w:r>
              <w:rPr>
                <w:sz w:val="20"/>
                <w:szCs w:val="20"/>
                <w:lang w:val="cs-CZ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]</w:t>
            </w:r>
            <w:r>
              <w:rPr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13F8" w:rsidRPr="00F513F8" w:rsidRDefault="00F513F8" w:rsidP="006C280E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</w:t>
            </w:r>
            <w:r>
              <w:rPr>
                <w:sz w:val="16"/>
                <w:szCs w:val="16"/>
                <w:lang w:val="cs-CZ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[</w:t>
            </w:r>
            <w:r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mΩ]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13F8" w:rsidRDefault="00F513F8" w:rsidP="006C280E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Céčko </w:t>
            </w: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[</w:t>
            </w:r>
            <w:r>
              <w:rPr>
                <w:sz w:val="20"/>
                <w:szCs w:val="20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]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3F8" w:rsidRPr="00F513F8" w:rsidRDefault="00F513F8" w:rsidP="006C280E">
            <w:pPr>
              <w:pStyle w:val="Bezmezer"/>
              <w:jc w:val="center"/>
              <w:rPr>
                <w:sz w:val="16"/>
                <w:szCs w:val="16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t</w:t>
            </w:r>
            <w:r>
              <w:rPr>
                <w:sz w:val="16"/>
                <w:szCs w:val="16"/>
                <w:lang w:val="cs-CZ"/>
              </w:rPr>
              <w:t xml:space="preserve">okolí </w:t>
            </w:r>
            <w:r w:rsidRPr="00F513F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[</w:t>
            </w:r>
            <w:r w:rsidRPr="00F513F8">
              <w:rPr>
                <w:sz w:val="20"/>
                <w:szCs w:val="20"/>
                <w:lang w:val="cs-CZ"/>
              </w:rPr>
              <w:t>°C</w:t>
            </w:r>
            <w:r w:rsidRPr="00F513F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]</w:t>
            </w:r>
          </w:p>
        </w:tc>
      </w:tr>
      <w:tr w:rsidR="00F513F8" w:rsidTr="00CA03B9">
        <w:trPr>
          <w:trHeight w:val="305"/>
        </w:trPr>
        <w:tc>
          <w:tcPr>
            <w:tcW w:w="13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13F8" w:rsidRPr="00F513F8" w:rsidRDefault="00F513F8" w:rsidP="00F513F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11,344</w:t>
            </w:r>
          </w:p>
        </w:tc>
        <w:tc>
          <w:tcPr>
            <w:tcW w:w="1309" w:type="dxa"/>
            <w:tcBorders>
              <w:top w:val="single" w:sz="12" w:space="0" w:color="auto"/>
            </w:tcBorders>
            <w:vAlign w:val="center"/>
          </w:tcPr>
          <w:p w:rsidR="00F513F8" w:rsidRDefault="00CA03B9" w:rsidP="00EE2E11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</w:t>
            </w:r>
            <w:r w:rsidR="00EE2E11">
              <w:rPr>
                <w:sz w:val="20"/>
                <w:szCs w:val="20"/>
                <w:lang w:val="cs-CZ"/>
              </w:rPr>
              <w:t>7</w:t>
            </w:r>
            <w:r>
              <w:rPr>
                <w:sz w:val="20"/>
                <w:szCs w:val="20"/>
                <w:lang w:val="cs-CZ"/>
              </w:rPr>
              <w:t>,</w:t>
            </w:r>
            <w:r w:rsidR="00EE2E11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309" w:type="dxa"/>
            <w:tcBorders>
              <w:top w:val="single" w:sz="12" w:space="0" w:color="auto"/>
            </w:tcBorders>
            <w:vAlign w:val="center"/>
          </w:tcPr>
          <w:p w:rsidR="00F513F8" w:rsidRDefault="00CA03B9" w:rsidP="00EE2E11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</w:t>
            </w:r>
            <w:r w:rsidR="00EE2E11">
              <w:rPr>
                <w:sz w:val="20"/>
                <w:szCs w:val="20"/>
                <w:lang w:val="cs-CZ"/>
              </w:rPr>
              <w:t>4</w:t>
            </w:r>
            <w:r>
              <w:rPr>
                <w:sz w:val="20"/>
                <w:szCs w:val="20"/>
                <w:lang w:val="cs-CZ"/>
              </w:rPr>
              <w:t>,</w:t>
            </w:r>
            <w:r w:rsidR="00EE2E11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3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13F8" w:rsidRDefault="00CA03B9" w:rsidP="00F513F8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22,4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13F8" w:rsidRDefault="00CA03B9" w:rsidP="00F513F8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11,344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vAlign w:val="center"/>
          </w:tcPr>
          <w:p w:rsidR="00F513F8" w:rsidRDefault="00CA03B9" w:rsidP="00F513F8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17,3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vAlign w:val="center"/>
          </w:tcPr>
          <w:p w:rsidR="00F513F8" w:rsidRDefault="00CA03B9" w:rsidP="00F513F8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24,7</w:t>
            </w:r>
          </w:p>
        </w:tc>
        <w:tc>
          <w:tcPr>
            <w:tcW w:w="13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13F8" w:rsidRDefault="00CA03B9" w:rsidP="00F513F8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22,8</w:t>
            </w:r>
          </w:p>
        </w:tc>
      </w:tr>
      <w:tr w:rsidR="00F513F8" w:rsidTr="00CA03B9">
        <w:trPr>
          <w:trHeight w:val="305"/>
        </w:trPr>
        <w:tc>
          <w:tcPr>
            <w:tcW w:w="1309" w:type="dxa"/>
            <w:tcBorders>
              <w:left w:val="single" w:sz="12" w:space="0" w:color="auto"/>
            </w:tcBorders>
            <w:vAlign w:val="center"/>
          </w:tcPr>
          <w:p w:rsidR="00F513F8" w:rsidRDefault="00F513F8" w:rsidP="00F513F8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11,343</w:t>
            </w:r>
          </w:p>
        </w:tc>
        <w:tc>
          <w:tcPr>
            <w:tcW w:w="1309" w:type="dxa"/>
            <w:vAlign w:val="center"/>
          </w:tcPr>
          <w:p w:rsidR="00F513F8" w:rsidRDefault="00CA03B9" w:rsidP="00F513F8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17,3</w:t>
            </w:r>
          </w:p>
        </w:tc>
        <w:tc>
          <w:tcPr>
            <w:tcW w:w="1309" w:type="dxa"/>
            <w:vAlign w:val="center"/>
          </w:tcPr>
          <w:p w:rsidR="00F513F8" w:rsidRDefault="00CA03B9" w:rsidP="00F513F8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24,7</w:t>
            </w:r>
          </w:p>
        </w:tc>
        <w:tc>
          <w:tcPr>
            <w:tcW w:w="1310" w:type="dxa"/>
            <w:tcBorders>
              <w:right w:val="single" w:sz="12" w:space="0" w:color="auto"/>
            </w:tcBorders>
            <w:vAlign w:val="center"/>
          </w:tcPr>
          <w:p w:rsidR="00F513F8" w:rsidRDefault="00CA03B9" w:rsidP="00F513F8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22,7</w:t>
            </w:r>
          </w:p>
        </w:tc>
        <w:tc>
          <w:tcPr>
            <w:tcW w:w="1310" w:type="dxa"/>
            <w:tcBorders>
              <w:left w:val="single" w:sz="12" w:space="0" w:color="auto"/>
            </w:tcBorders>
            <w:vAlign w:val="center"/>
          </w:tcPr>
          <w:p w:rsidR="00F513F8" w:rsidRDefault="00CA03B9" w:rsidP="00F513F8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11,348</w:t>
            </w:r>
          </w:p>
        </w:tc>
        <w:tc>
          <w:tcPr>
            <w:tcW w:w="1310" w:type="dxa"/>
            <w:vAlign w:val="center"/>
          </w:tcPr>
          <w:p w:rsidR="00F513F8" w:rsidRDefault="00CA03B9" w:rsidP="00F513F8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17,4</w:t>
            </w:r>
          </w:p>
        </w:tc>
        <w:tc>
          <w:tcPr>
            <w:tcW w:w="1310" w:type="dxa"/>
            <w:vAlign w:val="center"/>
          </w:tcPr>
          <w:p w:rsidR="00F513F8" w:rsidRDefault="00CA03B9" w:rsidP="00F513F8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24,5</w:t>
            </w:r>
          </w:p>
        </w:tc>
        <w:tc>
          <w:tcPr>
            <w:tcW w:w="1310" w:type="dxa"/>
            <w:tcBorders>
              <w:right w:val="single" w:sz="12" w:space="0" w:color="auto"/>
            </w:tcBorders>
            <w:vAlign w:val="center"/>
          </w:tcPr>
          <w:p w:rsidR="00F513F8" w:rsidRDefault="00CA03B9" w:rsidP="00F513F8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23,1</w:t>
            </w:r>
          </w:p>
        </w:tc>
      </w:tr>
      <w:tr w:rsidR="00F513F8" w:rsidTr="00CA03B9">
        <w:trPr>
          <w:trHeight w:val="305"/>
        </w:trPr>
        <w:tc>
          <w:tcPr>
            <w:tcW w:w="1309" w:type="dxa"/>
            <w:tcBorders>
              <w:left w:val="single" w:sz="12" w:space="0" w:color="auto"/>
            </w:tcBorders>
            <w:vAlign w:val="center"/>
          </w:tcPr>
          <w:p w:rsidR="00F513F8" w:rsidRDefault="00F513F8" w:rsidP="00F513F8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11,345</w:t>
            </w:r>
          </w:p>
        </w:tc>
        <w:tc>
          <w:tcPr>
            <w:tcW w:w="1309" w:type="dxa"/>
            <w:vAlign w:val="center"/>
          </w:tcPr>
          <w:p w:rsidR="00F513F8" w:rsidRDefault="00CA03B9" w:rsidP="00F513F8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17,3</w:t>
            </w:r>
          </w:p>
        </w:tc>
        <w:tc>
          <w:tcPr>
            <w:tcW w:w="1309" w:type="dxa"/>
            <w:vAlign w:val="center"/>
          </w:tcPr>
          <w:p w:rsidR="00F513F8" w:rsidRDefault="00CA03B9" w:rsidP="00F513F8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24,6</w:t>
            </w:r>
          </w:p>
        </w:tc>
        <w:tc>
          <w:tcPr>
            <w:tcW w:w="1310" w:type="dxa"/>
            <w:tcBorders>
              <w:right w:val="single" w:sz="12" w:space="0" w:color="auto"/>
            </w:tcBorders>
            <w:vAlign w:val="center"/>
          </w:tcPr>
          <w:p w:rsidR="00F513F8" w:rsidRDefault="00CA03B9" w:rsidP="00F513F8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22,6</w:t>
            </w:r>
          </w:p>
        </w:tc>
        <w:tc>
          <w:tcPr>
            <w:tcW w:w="1310" w:type="dxa"/>
            <w:tcBorders>
              <w:left w:val="single" w:sz="12" w:space="0" w:color="auto"/>
            </w:tcBorders>
            <w:vAlign w:val="center"/>
          </w:tcPr>
          <w:p w:rsidR="00F513F8" w:rsidRDefault="00CA03B9" w:rsidP="00F513F8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11,355</w:t>
            </w:r>
          </w:p>
        </w:tc>
        <w:tc>
          <w:tcPr>
            <w:tcW w:w="1310" w:type="dxa"/>
            <w:vAlign w:val="center"/>
          </w:tcPr>
          <w:p w:rsidR="00F513F8" w:rsidRDefault="00CA03B9" w:rsidP="00F513F8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17,6</w:t>
            </w:r>
          </w:p>
        </w:tc>
        <w:tc>
          <w:tcPr>
            <w:tcW w:w="1310" w:type="dxa"/>
            <w:vAlign w:val="center"/>
          </w:tcPr>
          <w:p w:rsidR="00F513F8" w:rsidRDefault="00CA03B9" w:rsidP="00F513F8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24,3</w:t>
            </w:r>
          </w:p>
        </w:tc>
        <w:tc>
          <w:tcPr>
            <w:tcW w:w="1310" w:type="dxa"/>
            <w:tcBorders>
              <w:right w:val="single" w:sz="12" w:space="0" w:color="auto"/>
            </w:tcBorders>
            <w:vAlign w:val="center"/>
          </w:tcPr>
          <w:p w:rsidR="00F513F8" w:rsidRDefault="00CA03B9" w:rsidP="00F513F8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23,1</w:t>
            </w:r>
          </w:p>
        </w:tc>
      </w:tr>
      <w:tr w:rsidR="00F513F8" w:rsidTr="00CA03B9">
        <w:trPr>
          <w:trHeight w:val="325"/>
        </w:trPr>
        <w:tc>
          <w:tcPr>
            <w:tcW w:w="1309" w:type="dxa"/>
            <w:tcBorders>
              <w:left w:val="single" w:sz="12" w:space="0" w:color="auto"/>
            </w:tcBorders>
            <w:vAlign w:val="center"/>
          </w:tcPr>
          <w:p w:rsidR="00F513F8" w:rsidRDefault="00F513F8" w:rsidP="00CA03B9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11,34</w:t>
            </w:r>
            <w:r w:rsidR="00CA03B9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1309" w:type="dxa"/>
            <w:vAlign w:val="center"/>
          </w:tcPr>
          <w:p w:rsidR="00F513F8" w:rsidRPr="00F513F8" w:rsidRDefault="00CA03B9" w:rsidP="006C280E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17,2</w:t>
            </w:r>
          </w:p>
        </w:tc>
        <w:tc>
          <w:tcPr>
            <w:tcW w:w="1309" w:type="dxa"/>
            <w:vAlign w:val="center"/>
          </w:tcPr>
          <w:p w:rsidR="00F513F8" w:rsidRDefault="00CA03B9" w:rsidP="006C280E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24,9</w:t>
            </w:r>
          </w:p>
        </w:tc>
        <w:tc>
          <w:tcPr>
            <w:tcW w:w="1310" w:type="dxa"/>
            <w:tcBorders>
              <w:right w:val="single" w:sz="12" w:space="0" w:color="auto"/>
            </w:tcBorders>
            <w:vAlign w:val="center"/>
          </w:tcPr>
          <w:p w:rsidR="00F513F8" w:rsidRDefault="00CA03B9" w:rsidP="006C280E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22,8</w:t>
            </w:r>
          </w:p>
        </w:tc>
        <w:tc>
          <w:tcPr>
            <w:tcW w:w="1310" w:type="dxa"/>
            <w:tcBorders>
              <w:left w:val="single" w:sz="12" w:space="0" w:color="auto"/>
            </w:tcBorders>
            <w:vAlign w:val="center"/>
          </w:tcPr>
          <w:p w:rsidR="00F513F8" w:rsidRDefault="00CA03B9" w:rsidP="00F513F8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11,345</w:t>
            </w:r>
          </w:p>
        </w:tc>
        <w:tc>
          <w:tcPr>
            <w:tcW w:w="1310" w:type="dxa"/>
            <w:vAlign w:val="center"/>
          </w:tcPr>
          <w:p w:rsidR="00F513F8" w:rsidRDefault="00CA03B9" w:rsidP="00F513F8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17,1</w:t>
            </w:r>
          </w:p>
        </w:tc>
        <w:tc>
          <w:tcPr>
            <w:tcW w:w="1310" w:type="dxa"/>
            <w:vAlign w:val="center"/>
          </w:tcPr>
          <w:p w:rsidR="00F513F8" w:rsidRDefault="00CA03B9" w:rsidP="00F513F8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25,0</w:t>
            </w:r>
          </w:p>
        </w:tc>
        <w:tc>
          <w:tcPr>
            <w:tcW w:w="1310" w:type="dxa"/>
            <w:tcBorders>
              <w:right w:val="single" w:sz="12" w:space="0" w:color="auto"/>
            </w:tcBorders>
            <w:vAlign w:val="center"/>
          </w:tcPr>
          <w:p w:rsidR="00F513F8" w:rsidRDefault="00CA03B9" w:rsidP="00F513F8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23,0</w:t>
            </w:r>
          </w:p>
        </w:tc>
      </w:tr>
      <w:tr w:rsidR="00F513F8" w:rsidTr="00CA03B9">
        <w:trPr>
          <w:trHeight w:val="325"/>
        </w:trPr>
        <w:tc>
          <w:tcPr>
            <w:tcW w:w="13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13F8" w:rsidRDefault="00F513F8" w:rsidP="00CA03B9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11,34</w:t>
            </w:r>
            <w:r w:rsidR="00CA03B9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:rsidR="00F513F8" w:rsidRPr="00F513F8" w:rsidRDefault="00CA03B9" w:rsidP="00EE2E11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</w:t>
            </w:r>
            <w:r w:rsidR="00EE2E11">
              <w:rPr>
                <w:sz w:val="18"/>
                <w:szCs w:val="18"/>
                <w:lang w:val="cs-CZ"/>
              </w:rPr>
              <w:t>7</w:t>
            </w:r>
            <w:r>
              <w:rPr>
                <w:sz w:val="18"/>
                <w:szCs w:val="18"/>
                <w:lang w:val="cs-CZ"/>
              </w:rPr>
              <w:t>,</w:t>
            </w:r>
            <w:r w:rsidR="00EE2E11">
              <w:rPr>
                <w:sz w:val="18"/>
                <w:szCs w:val="18"/>
                <w:lang w:val="cs-CZ"/>
              </w:rPr>
              <w:t>1</w:t>
            </w: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:rsidR="00F513F8" w:rsidRDefault="00CA03B9" w:rsidP="00EE2E11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25,</w:t>
            </w:r>
            <w:r w:rsidR="00EE2E11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13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13F8" w:rsidRDefault="00CA03B9" w:rsidP="006C280E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22,6</w:t>
            </w:r>
          </w:p>
        </w:tc>
        <w:tc>
          <w:tcPr>
            <w:tcW w:w="13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13F8" w:rsidRDefault="00404777" w:rsidP="00F513F8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11,350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vAlign w:val="center"/>
          </w:tcPr>
          <w:p w:rsidR="00F513F8" w:rsidRDefault="00404777" w:rsidP="00F513F8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17,6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vAlign w:val="center"/>
          </w:tcPr>
          <w:p w:rsidR="00F513F8" w:rsidRDefault="00404777" w:rsidP="00F513F8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24,3</w:t>
            </w:r>
          </w:p>
        </w:tc>
        <w:tc>
          <w:tcPr>
            <w:tcW w:w="13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13F8" w:rsidRDefault="00404777" w:rsidP="00F513F8">
            <w:pPr>
              <w:pStyle w:val="Bezmezer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23,1</w:t>
            </w:r>
          </w:p>
        </w:tc>
      </w:tr>
    </w:tbl>
    <w:p w:rsidR="00404777" w:rsidRPr="00916022" w:rsidRDefault="00C904C6" w:rsidP="00916022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                           </w:t>
      </w:r>
    </w:p>
    <w:p w:rsidR="00916022" w:rsidRPr="00C904C6" w:rsidRDefault="00C904C6" w:rsidP="00C904C6">
      <w:pPr>
        <w:pStyle w:val="Bezmezer"/>
        <w:rPr>
          <w:sz w:val="20"/>
          <w:szCs w:val="20"/>
        </w:rPr>
      </w:pPr>
      <w:r w:rsidRPr="00C904C6">
        <w:rPr>
          <w:sz w:val="20"/>
          <w:szCs w:val="20"/>
        </w:rPr>
        <w:t xml:space="preserve">                Zjištěná chyba opakovatelnosti Ri a Céčka:      Ri = (</w:t>
      </w:r>
      <w:r w:rsidRPr="005A76F6">
        <w:rPr>
          <w:rStyle w:val="Styl1Char"/>
        </w:rPr>
        <w:t>17</w:t>
      </w:r>
      <w:proofErr w:type="gramStart"/>
      <w:r w:rsidR="005A76F6" w:rsidRPr="005A76F6">
        <w:rPr>
          <w:rStyle w:val="Styl1Char"/>
        </w:rPr>
        <w:t>,4</w:t>
      </w:r>
      <w:proofErr w:type="gramEnd"/>
      <w:r w:rsidRPr="00C904C6">
        <w:rPr>
          <w:sz w:val="20"/>
          <w:szCs w:val="20"/>
        </w:rPr>
        <w:t xml:space="preserve"> ± 0,</w:t>
      </w:r>
      <w:r w:rsidR="003875D3">
        <w:rPr>
          <w:sz w:val="20"/>
          <w:szCs w:val="20"/>
        </w:rPr>
        <w:t>6</w:t>
      </w:r>
      <w:r w:rsidRPr="00C904C6">
        <w:rPr>
          <w:sz w:val="20"/>
          <w:szCs w:val="20"/>
        </w:rPr>
        <w:t>) mΩ</w:t>
      </w:r>
    </w:p>
    <w:p w:rsidR="00C904C6" w:rsidRDefault="00C904C6" w:rsidP="00C904C6">
      <w:pPr>
        <w:pStyle w:val="Bezmezer"/>
        <w:rPr>
          <w:sz w:val="20"/>
          <w:szCs w:val="20"/>
        </w:rPr>
      </w:pPr>
      <w:r>
        <w:t xml:space="preserve">                   </w:t>
      </w:r>
      <w:r w:rsidR="0053719C">
        <w:t xml:space="preserve"> </w:t>
      </w:r>
      <w:r>
        <w:t xml:space="preserve">                                                  </w:t>
      </w:r>
      <w:r w:rsidR="00BF65C8">
        <w:t xml:space="preserve"> </w:t>
      </w:r>
      <w:r>
        <w:t xml:space="preserve">      </w:t>
      </w:r>
      <w:r w:rsidRPr="00C904C6">
        <w:rPr>
          <w:sz w:val="20"/>
          <w:szCs w:val="20"/>
        </w:rPr>
        <w:t>Céčko = (24</w:t>
      </w:r>
      <w:r w:rsidR="001C2AA2" w:rsidRPr="00C904C6">
        <w:rPr>
          <w:sz w:val="20"/>
          <w:szCs w:val="20"/>
        </w:rPr>
        <w:t>,6</w:t>
      </w:r>
      <w:r w:rsidRPr="00C904C6">
        <w:rPr>
          <w:sz w:val="20"/>
          <w:szCs w:val="20"/>
        </w:rPr>
        <w:t xml:space="preserve"> ± 0,</w:t>
      </w:r>
      <w:r w:rsidR="003875D3">
        <w:rPr>
          <w:sz w:val="20"/>
          <w:szCs w:val="20"/>
        </w:rPr>
        <w:t>9</w:t>
      </w:r>
      <w:r w:rsidRPr="00C904C6">
        <w:rPr>
          <w:sz w:val="20"/>
          <w:szCs w:val="20"/>
        </w:rPr>
        <w:t>)</w:t>
      </w:r>
    </w:p>
    <w:p w:rsidR="00C904C6" w:rsidRDefault="00C904C6" w:rsidP="00C904C6">
      <w:pPr>
        <w:pStyle w:val="Bezmezer"/>
        <w:rPr>
          <w:sz w:val="20"/>
          <w:szCs w:val="20"/>
        </w:rPr>
      </w:pPr>
    </w:p>
    <w:p w:rsidR="00B974A5" w:rsidRDefault="00C904C6" w:rsidP="00C904C6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C904C6">
        <w:rPr>
          <w:sz w:val="20"/>
          <w:szCs w:val="20"/>
        </w:rPr>
        <w:t xml:space="preserve">V tomto </w:t>
      </w:r>
      <w:r w:rsidRPr="00B974A5">
        <w:rPr>
          <w:sz w:val="20"/>
          <w:szCs w:val="20"/>
          <w:lang w:val="cs-CZ"/>
        </w:rPr>
        <w:t>měření</w:t>
      </w:r>
      <w:r w:rsidRPr="00C904C6">
        <w:rPr>
          <w:sz w:val="20"/>
          <w:szCs w:val="20"/>
        </w:rPr>
        <w:t xml:space="preserve"> bylo zjištěno, že s 95% jistotou je vnitřní odpor Ri v rozmezí 1</w:t>
      </w:r>
      <w:r w:rsidR="001C2AA2">
        <w:rPr>
          <w:sz w:val="20"/>
          <w:szCs w:val="20"/>
        </w:rPr>
        <w:t>6</w:t>
      </w:r>
      <w:r w:rsidRPr="00C904C6">
        <w:rPr>
          <w:sz w:val="20"/>
          <w:szCs w:val="20"/>
        </w:rPr>
        <w:t>,</w:t>
      </w:r>
      <w:r w:rsidR="001C2AA2">
        <w:rPr>
          <w:sz w:val="20"/>
          <w:szCs w:val="20"/>
        </w:rPr>
        <w:t>8</w:t>
      </w:r>
      <w:r w:rsidRPr="00C904C6">
        <w:rPr>
          <w:sz w:val="20"/>
          <w:szCs w:val="20"/>
        </w:rPr>
        <w:t xml:space="preserve"> až 1</w:t>
      </w:r>
      <w:r w:rsidR="001C2AA2">
        <w:rPr>
          <w:sz w:val="20"/>
          <w:szCs w:val="20"/>
        </w:rPr>
        <w:t>8</w:t>
      </w:r>
      <w:r w:rsidRPr="00C904C6">
        <w:rPr>
          <w:sz w:val="20"/>
          <w:szCs w:val="20"/>
        </w:rPr>
        <w:t>,</w:t>
      </w:r>
      <w:r w:rsidR="001C2AA2">
        <w:rPr>
          <w:sz w:val="20"/>
          <w:szCs w:val="20"/>
        </w:rPr>
        <w:t>0 mΩ a Céčko 23</w:t>
      </w:r>
      <w:r w:rsidRPr="00C904C6">
        <w:rPr>
          <w:sz w:val="20"/>
          <w:szCs w:val="20"/>
        </w:rPr>
        <w:t>,</w:t>
      </w:r>
      <w:r w:rsidR="001C2AA2">
        <w:rPr>
          <w:sz w:val="20"/>
          <w:szCs w:val="20"/>
        </w:rPr>
        <w:t>7</w:t>
      </w:r>
      <w:r w:rsidRPr="00C904C6">
        <w:rPr>
          <w:sz w:val="20"/>
          <w:szCs w:val="20"/>
        </w:rPr>
        <w:t xml:space="preserve"> až 25,</w:t>
      </w:r>
      <w:r w:rsidR="001C2AA2">
        <w:rPr>
          <w:sz w:val="20"/>
          <w:szCs w:val="20"/>
        </w:rPr>
        <w:t>5</w:t>
      </w:r>
      <w:r w:rsidRPr="00C904C6">
        <w:rPr>
          <w:sz w:val="20"/>
          <w:szCs w:val="20"/>
        </w:rPr>
        <w:t>.</w:t>
      </w:r>
    </w:p>
    <w:p w:rsidR="00B974A5" w:rsidRDefault="00B974A5" w:rsidP="00C904C6">
      <w:pPr>
        <w:pStyle w:val="Bezmezer"/>
        <w:rPr>
          <w:sz w:val="20"/>
          <w:szCs w:val="20"/>
        </w:rPr>
      </w:pPr>
    </w:p>
    <w:p w:rsidR="000700DF" w:rsidRDefault="00C904C6" w:rsidP="00C904C6">
      <w:pPr>
        <w:pStyle w:val="Bezmezer"/>
        <w:rPr>
          <w:b/>
          <w:sz w:val="20"/>
          <w:szCs w:val="20"/>
          <w:lang w:val="cs-CZ"/>
        </w:rPr>
      </w:pPr>
      <w:r w:rsidRPr="00B974A5">
        <w:rPr>
          <w:b/>
          <w:sz w:val="20"/>
          <w:szCs w:val="20"/>
          <w:lang w:val="cs-CZ"/>
        </w:rPr>
        <w:t xml:space="preserve"> </w:t>
      </w:r>
      <w:r w:rsidR="00BD5A0C">
        <w:rPr>
          <w:b/>
          <w:sz w:val="20"/>
          <w:szCs w:val="20"/>
          <w:lang w:val="cs-CZ"/>
        </w:rPr>
        <w:t>3</w:t>
      </w:r>
      <w:r w:rsidR="00B974A5" w:rsidRPr="00B974A5">
        <w:rPr>
          <w:b/>
          <w:sz w:val="20"/>
          <w:szCs w:val="20"/>
          <w:lang w:val="cs-CZ"/>
        </w:rPr>
        <w:t xml:space="preserve">/ </w:t>
      </w:r>
      <w:r w:rsidR="00FF7A30">
        <w:rPr>
          <w:b/>
          <w:sz w:val="20"/>
          <w:szCs w:val="20"/>
          <w:lang w:val="cs-CZ"/>
        </w:rPr>
        <w:t>Zjištění vnitřního odporu a Céčka</w:t>
      </w:r>
      <w:r w:rsidR="0093579B">
        <w:rPr>
          <w:b/>
          <w:sz w:val="20"/>
          <w:szCs w:val="20"/>
          <w:lang w:val="cs-CZ"/>
        </w:rPr>
        <w:t xml:space="preserve"> z hodnot odečtených z datallogeru</w:t>
      </w:r>
    </w:p>
    <w:p w:rsidR="000700DF" w:rsidRDefault="000700DF" w:rsidP="00C904C6">
      <w:pPr>
        <w:pStyle w:val="Bezmezer"/>
        <w:rPr>
          <w:b/>
          <w:sz w:val="20"/>
          <w:szCs w:val="20"/>
          <w:lang w:val="cs-CZ"/>
        </w:rPr>
      </w:pPr>
    </w:p>
    <w:p w:rsidR="0053719C" w:rsidRDefault="0053719C" w:rsidP="0053719C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</w:pPr>
      <w:r w:rsidRPr="00916022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  Následující tabulka a graf ukazuje</w:t>
      </w:r>
      <w:r w:rsidRPr="00C904C6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pokles napětí po zatížení proudem. Časová prodleva, která postačí k ustálení napětí a proudu je minimálně 0,1 s</w:t>
      </w:r>
      <w:r w:rsidR="00170614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ekundy</w:t>
      </w:r>
      <w:r w:rsidRPr="00C904C6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</w:t>
      </w:r>
      <w:r w:rsidR="00BF495C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- </w:t>
      </w:r>
      <w:r w:rsidRPr="00C904C6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může</w:t>
      </w:r>
      <w:r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</w:t>
      </w:r>
      <w:r w:rsidRPr="00C904C6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být samozřejmě ovlivněna dobou převodu v A/D převodníku datall</w:t>
      </w:r>
      <w:r w:rsidRPr="00C904C6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o</w:t>
      </w:r>
      <w:r w:rsidRPr="00C904C6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geru, a</w:t>
      </w:r>
      <w:r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le</w:t>
      </w:r>
      <w:r w:rsidRPr="00C904C6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to já neovlivním. Musíme si uvědomit, že se jedná o elektrochemický</w:t>
      </w:r>
      <w:r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</w:t>
      </w:r>
      <w:r w:rsidRPr="00C904C6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zdroj proudu a "nastartování" elektr</w:t>
      </w:r>
      <w:r w:rsidRPr="00C904C6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o</w:t>
      </w:r>
      <w:r w:rsidRPr="00C904C6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chemického procesu trvá nějaký čas.</w:t>
      </w:r>
      <w:r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 </w:t>
      </w:r>
    </w:p>
    <w:p w:rsidR="0053719C" w:rsidRDefault="0053719C" w:rsidP="00C904C6">
      <w:pPr>
        <w:pStyle w:val="Bezmezer"/>
        <w:rPr>
          <w:b/>
          <w:sz w:val="20"/>
          <w:szCs w:val="20"/>
          <w:lang w:val="cs-CZ"/>
        </w:rPr>
      </w:pPr>
    </w:p>
    <w:p w:rsidR="00B974A5" w:rsidRDefault="000700DF" w:rsidP="00C904C6">
      <w:pPr>
        <w:pStyle w:val="Bezmezer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    </w:t>
      </w:r>
      <w:r w:rsidR="00B974A5" w:rsidRPr="00B974A5">
        <w:rPr>
          <w:sz w:val="20"/>
          <w:szCs w:val="20"/>
          <w:lang w:val="cs-CZ"/>
        </w:rPr>
        <w:t xml:space="preserve"> </w:t>
      </w:r>
      <w:r w:rsidR="00000BEC">
        <w:rPr>
          <w:sz w:val="20"/>
          <w:szCs w:val="20"/>
          <w:lang w:val="cs-CZ"/>
        </w:rPr>
        <w:t>Na g</w:t>
      </w:r>
      <w:r w:rsidR="00B974A5" w:rsidRPr="00B974A5">
        <w:rPr>
          <w:sz w:val="20"/>
          <w:szCs w:val="20"/>
          <w:lang w:val="cs-CZ"/>
        </w:rPr>
        <w:t>raf</w:t>
      </w:r>
      <w:r w:rsidR="00000BEC">
        <w:rPr>
          <w:sz w:val="20"/>
          <w:szCs w:val="20"/>
          <w:lang w:val="cs-CZ"/>
        </w:rPr>
        <w:t>u</w:t>
      </w:r>
      <w:r w:rsidR="00B974A5" w:rsidRPr="00B974A5">
        <w:rPr>
          <w:sz w:val="20"/>
          <w:szCs w:val="20"/>
          <w:lang w:val="cs-CZ"/>
        </w:rPr>
        <w:t xml:space="preserve"> </w:t>
      </w:r>
      <w:r w:rsidR="00000BEC">
        <w:rPr>
          <w:sz w:val="20"/>
          <w:szCs w:val="20"/>
          <w:lang w:val="cs-CZ"/>
        </w:rPr>
        <w:t xml:space="preserve">je </w:t>
      </w:r>
      <w:r w:rsidR="00143D60">
        <w:rPr>
          <w:sz w:val="20"/>
          <w:szCs w:val="20"/>
          <w:lang w:val="cs-CZ"/>
        </w:rPr>
        <w:t>znázorněno</w:t>
      </w:r>
      <w:r w:rsidR="00B974A5" w:rsidRPr="00B974A5">
        <w:rPr>
          <w:sz w:val="20"/>
          <w:szCs w:val="20"/>
          <w:lang w:val="cs-CZ"/>
        </w:rPr>
        <w:t>,</w:t>
      </w:r>
      <w:r w:rsidR="00143D60">
        <w:rPr>
          <w:sz w:val="20"/>
          <w:szCs w:val="20"/>
          <w:lang w:val="cs-CZ"/>
        </w:rPr>
        <w:t xml:space="preserve"> </w:t>
      </w:r>
      <w:r w:rsidR="00B974A5" w:rsidRPr="00B974A5">
        <w:rPr>
          <w:sz w:val="20"/>
          <w:szCs w:val="20"/>
          <w:lang w:val="cs-CZ"/>
        </w:rPr>
        <w:t xml:space="preserve">proč </w:t>
      </w:r>
      <w:r w:rsidR="00677A93">
        <w:rPr>
          <w:sz w:val="20"/>
          <w:szCs w:val="20"/>
          <w:lang w:val="cs-CZ"/>
        </w:rPr>
        <w:t>barevně</w:t>
      </w:r>
      <w:r w:rsidR="00B974A5" w:rsidRPr="00B974A5">
        <w:rPr>
          <w:sz w:val="20"/>
          <w:szCs w:val="20"/>
          <w:lang w:val="cs-CZ"/>
        </w:rPr>
        <w:t xml:space="preserve"> označená data byla vyjmuta z výpočtu Ri a Céčka a označena jako přech</w:t>
      </w:r>
      <w:r w:rsidR="00B974A5" w:rsidRPr="00B974A5">
        <w:rPr>
          <w:sz w:val="20"/>
          <w:szCs w:val="20"/>
          <w:lang w:val="cs-CZ"/>
        </w:rPr>
        <w:t>o</w:t>
      </w:r>
      <w:r w:rsidR="00B974A5" w:rsidRPr="00B974A5">
        <w:rPr>
          <w:sz w:val="20"/>
          <w:szCs w:val="20"/>
          <w:lang w:val="cs-CZ"/>
        </w:rPr>
        <w:t xml:space="preserve">dový stav. </w:t>
      </w:r>
      <w:r w:rsidR="00B20E0E">
        <w:rPr>
          <w:sz w:val="20"/>
          <w:szCs w:val="20"/>
          <w:lang w:val="cs-CZ"/>
        </w:rPr>
        <w:t>Důvodem je neustálené napětí aku po zatížení, které způsobuje extrémní hodnoty Ri a Céčka.</w:t>
      </w:r>
    </w:p>
    <w:p w:rsidR="00B20E0E" w:rsidRDefault="00B20E0E" w:rsidP="00C904C6">
      <w:pPr>
        <w:pStyle w:val="Bezmezer"/>
        <w:rPr>
          <w:sz w:val="20"/>
          <w:szCs w:val="20"/>
          <w:lang w:val="cs-CZ"/>
        </w:rPr>
      </w:pPr>
    </w:p>
    <w:tbl>
      <w:tblPr>
        <w:tblStyle w:val="Mkatabulky"/>
        <w:tblW w:w="10557" w:type="dxa"/>
        <w:tblLook w:val="04A0"/>
      </w:tblPr>
      <w:tblGrid>
        <w:gridCol w:w="1173"/>
        <w:gridCol w:w="1173"/>
        <w:gridCol w:w="1173"/>
        <w:gridCol w:w="1173"/>
        <w:gridCol w:w="1173"/>
        <w:gridCol w:w="1173"/>
        <w:gridCol w:w="1173"/>
        <w:gridCol w:w="1173"/>
        <w:gridCol w:w="1173"/>
      </w:tblGrid>
      <w:tr w:rsidR="00B974A5" w:rsidRPr="009E1178" w:rsidTr="009E1178">
        <w:trPr>
          <w:trHeight w:val="292"/>
        </w:trPr>
        <w:tc>
          <w:tcPr>
            <w:tcW w:w="1173" w:type="dxa"/>
            <w:vAlign w:val="center"/>
          </w:tcPr>
          <w:p w:rsidR="00B974A5" w:rsidRPr="009E1178" w:rsidRDefault="00B974A5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 w:rsidRPr="009E1178">
              <w:rPr>
                <w:sz w:val="18"/>
                <w:szCs w:val="18"/>
                <w:lang w:val="cs-CZ"/>
              </w:rPr>
              <w:t xml:space="preserve">Zeit </w:t>
            </w:r>
            <w:r w:rsidRPr="009E1178"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[</w:t>
            </w:r>
            <w:r w:rsidR="009E1178" w:rsidRPr="009E1178">
              <w:rPr>
                <w:sz w:val="18"/>
                <w:szCs w:val="18"/>
                <w:lang w:val="cs-CZ"/>
              </w:rPr>
              <w:t>s</w:t>
            </w:r>
            <w:r w:rsidR="009E1178" w:rsidRPr="009E1178"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]</w:t>
            </w:r>
          </w:p>
        </w:tc>
        <w:tc>
          <w:tcPr>
            <w:tcW w:w="1173" w:type="dxa"/>
            <w:vAlign w:val="center"/>
          </w:tcPr>
          <w:p w:rsidR="00B974A5" w:rsidRPr="009E1178" w:rsidRDefault="009E1178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 w:rsidRPr="009E1178">
              <w:rPr>
                <w:sz w:val="18"/>
                <w:szCs w:val="18"/>
                <w:lang w:val="cs-CZ"/>
              </w:rPr>
              <w:t>Zelle</w:t>
            </w:r>
            <w:r>
              <w:rPr>
                <w:sz w:val="18"/>
                <w:szCs w:val="18"/>
                <w:lang w:val="cs-CZ"/>
              </w:rPr>
              <w:t>1</w:t>
            </w:r>
            <w:r w:rsidRPr="009E1178">
              <w:rPr>
                <w:sz w:val="18"/>
                <w:szCs w:val="18"/>
                <w:lang w:val="cs-CZ"/>
              </w:rPr>
              <w:t xml:space="preserve"> </w:t>
            </w:r>
            <w:r w:rsidRPr="009E1178"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[</w:t>
            </w:r>
            <w:r w:rsidRPr="009E1178">
              <w:rPr>
                <w:sz w:val="18"/>
                <w:szCs w:val="18"/>
                <w:lang w:val="cs-CZ"/>
              </w:rPr>
              <w:t>V</w:t>
            </w:r>
            <w:r w:rsidRPr="009E1178"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]</w:t>
            </w:r>
          </w:p>
        </w:tc>
        <w:tc>
          <w:tcPr>
            <w:tcW w:w="1173" w:type="dxa"/>
            <w:vAlign w:val="center"/>
          </w:tcPr>
          <w:p w:rsidR="00B974A5" w:rsidRPr="009E1178" w:rsidRDefault="009E1178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 w:rsidRPr="009E1178">
              <w:rPr>
                <w:sz w:val="18"/>
                <w:szCs w:val="18"/>
                <w:lang w:val="cs-CZ"/>
              </w:rPr>
              <w:t>Zelle</w:t>
            </w:r>
            <w:r>
              <w:rPr>
                <w:sz w:val="18"/>
                <w:szCs w:val="18"/>
                <w:lang w:val="cs-CZ"/>
              </w:rPr>
              <w:t>2</w:t>
            </w:r>
            <w:r w:rsidRPr="009E1178">
              <w:rPr>
                <w:sz w:val="18"/>
                <w:szCs w:val="18"/>
                <w:lang w:val="cs-CZ"/>
              </w:rPr>
              <w:t xml:space="preserve"> </w:t>
            </w:r>
            <w:r w:rsidRPr="009E1178"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[</w:t>
            </w:r>
            <w:r w:rsidRPr="009E1178">
              <w:rPr>
                <w:sz w:val="18"/>
                <w:szCs w:val="18"/>
                <w:lang w:val="cs-CZ"/>
              </w:rPr>
              <w:t>V</w:t>
            </w:r>
            <w:r w:rsidRPr="009E1178"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]</w:t>
            </w:r>
          </w:p>
        </w:tc>
        <w:tc>
          <w:tcPr>
            <w:tcW w:w="1173" w:type="dxa"/>
            <w:vAlign w:val="center"/>
          </w:tcPr>
          <w:p w:rsidR="00B974A5" w:rsidRPr="009E1178" w:rsidRDefault="009E1178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 w:rsidRPr="009E1178">
              <w:rPr>
                <w:sz w:val="18"/>
                <w:szCs w:val="18"/>
                <w:lang w:val="cs-CZ"/>
              </w:rPr>
              <w:t>Zelle</w:t>
            </w:r>
            <w:r>
              <w:rPr>
                <w:sz w:val="18"/>
                <w:szCs w:val="18"/>
                <w:lang w:val="cs-CZ"/>
              </w:rPr>
              <w:t>3</w:t>
            </w:r>
            <w:r w:rsidRPr="009E1178">
              <w:rPr>
                <w:sz w:val="18"/>
                <w:szCs w:val="18"/>
                <w:lang w:val="cs-CZ"/>
              </w:rPr>
              <w:t xml:space="preserve"> </w:t>
            </w:r>
            <w:r w:rsidRPr="009E1178"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[</w:t>
            </w:r>
            <w:r w:rsidRPr="009E1178">
              <w:rPr>
                <w:sz w:val="18"/>
                <w:szCs w:val="18"/>
                <w:lang w:val="cs-CZ"/>
              </w:rPr>
              <w:t>V</w:t>
            </w:r>
            <w:r w:rsidRPr="009E1178"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]</w:t>
            </w:r>
          </w:p>
        </w:tc>
        <w:tc>
          <w:tcPr>
            <w:tcW w:w="1173" w:type="dxa"/>
            <w:vAlign w:val="center"/>
          </w:tcPr>
          <w:p w:rsidR="00B974A5" w:rsidRPr="009E1178" w:rsidRDefault="009E1178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U</w:t>
            </w:r>
            <w:r>
              <w:rPr>
                <w:sz w:val="16"/>
                <w:szCs w:val="16"/>
                <w:lang w:val="cs-CZ"/>
              </w:rPr>
              <w:t xml:space="preserve">bat </w:t>
            </w:r>
            <w:r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[</w:t>
            </w:r>
            <w:r>
              <w:rPr>
                <w:sz w:val="18"/>
                <w:szCs w:val="18"/>
                <w:lang w:val="cs-CZ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]</w:t>
            </w:r>
          </w:p>
        </w:tc>
        <w:tc>
          <w:tcPr>
            <w:tcW w:w="1173" w:type="dxa"/>
            <w:vAlign w:val="center"/>
          </w:tcPr>
          <w:p w:rsidR="00B974A5" w:rsidRPr="009E1178" w:rsidRDefault="009E1178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I</w:t>
            </w:r>
            <w:r>
              <w:rPr>
                <w:sz w:val="16"/>
                <w:szCs w:val="16"/>
                <w:lang w:val="cs-CZ"/>
              </w:rPr>
              <w:t>z</w:t>
            </w:r>
            <w:r w:rsidRPr="009E1178">
              <w:rPr>
                <w:sz w:val="16"/>
                <w:szCs w:val="16"/>
                <w:lang w:val="cs-CZ"/>
              </w:rPr>
              <w:t>at</w:t>
            </w:r>
            <w:r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[</w:t>
            </w:r>
            <w:r>
              <w:rPr>
                <w:sz w:val="18"/>
                <w:szCs w:val="18"/>
                <w:lang w:val="cs-CZ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]</w:t>
            </w:r>
          </w:p>
        </w:tc>
        <w:tc>
          <w:tcPr>
            <w:tcW w:w="1173" w:type="dxa"/>
            <w:vAlign w:val="center"/>
          </w:tcPr>
          <w:p w:rsidR="00B974A5" w:rsidRPr="009E1178" w:rsidRDefault="009E1178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R</w:t>
            </w:r>
            <w:r>
              <w:rPr>
                <w:sz w:val="16"/>
                <w:szCs w:val="16"/>
                <w:lang w:val="cs-CZ"/>
              </w:rPr>
              <w:t xml:space="preserve">i </w:t>
            </w:r>
            <w:r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[</w:t>
            </w:r>
            <w:r>
              <w:rPr>
                <w:sz w:val="18"/>
                <w:szCs w:val="18"/>
                <w:lang w:val="cs-CZ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Ω]</w:t>
            </w:r>
          </w:p>
        </w:tc>
        <w:tc>
          <w:tcPr>
            <w:tcW w:w="1173" w:type="dxa"/>
            <w:vAlign w:val="center"/>
          </w:tcPr>
          <w:p w:rsidR="00B974A5" w:rsidRPr="009E1178" w:rsidRDefault="009E1178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Céčko </w:t>
            </w:r>
            <w:r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[</w:t>
            </w:r>
            <w:r>
              <w:rPr>
                <w:sz w:val="18"/>
                <w:szCs w:val="18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]</w:t>
            </w:r>
          </w:p>
        </w:tc>
        <w:tc>
          <w:tcPr>
            <w:tcW w:w="1173" w:type="dxa"/>
            <w:vAlign w:val="center"/>
          </w:tcPr>
          <w:p w:rsidR="00B974A5" w:rsidRPr="009E1178" w:rsidRDefault="009E1178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</w:t>
            </w:r>
            <w:r>
              <w:rPr>
                <w:sz w:val="16"/>
                <w:szCs w:val="16"/>
                <w:lang w:val="cs-CZ"/>
              </w:rPr>
              <w:t xml:space="preserve">okolí </w:t>
            </w:r>
            <w:r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[</w:t>
            </w:r>
            <w:r>
              <w:rPr>
                <w:sz w:val="18"/>
                <w:szCs w:val="18"/>
                <w:lang w:val="cs-CZ"/>
              </w:rPr>
              <w:t>°C</w:t>
            </w:r>
            <w:r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]</w:t>
            </w:r>
          </w:p>
        </w:tc>
      </w:tr>
      <w:tr w:rsidR="00B974A5" w:rsidRPr="009E1178" w:rsidTr="009E1178">
        <w:trPr>
          <w:trHeight w:val="292"/>
        </w:trPr>
        <w:tc>
          <w:tcPr>
            <w:tcW w:w="1173" w:type="dxa"/>
            <w:vAlign w:val="center"/>
          </w:tcPr>
          <w:p w:rsidR="00B974A5" w:rsidRPr="009E1178" w:rsidRDefault="009E1178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</w:t>
            </w:r>
            <w:r w:rsidR="00000BEC">
              <w:rPr>
                <w:sz w:val="18"/>
                <w:szCs w:val="18"/>
                <w:lang w:val="cs-CZ"/>
              </w:rPr>
              <w:t>,</w:t>
            </w:r>
            <w:r>
              <w:rPr>
                <w:sz w:val="18"/>
                <w:szCs w:val="18"/>
                <w:lang w:val="cs-CZ"/>
              </w:rPr>
              <w:t>849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3,774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3,780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3,785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11,339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</w:t>
            </w:r>
          </w:p>
        </w:tc>
        <w:tc>
          <w:tcPr>
            <w:tcW w:w="1173" w:type="dxa"/>
            <w:vAlign w:val="center"/>
          </w:tcPr>
          <w:p w:rsidR="00B974A5" w:rsidRPr="009E1178" w:rsidRDefault="00BF6772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</w:t>
            </w:r>
          </w:p>
        </w:tc>
        <w:tc>
          <w:tcPr>
            <w:tcW w:w="1173" w:type="dxa"/>
            <w:vAlign w:val="center"/>
          </w:tcPr>
          <w:p w:rsidR="00B974A5" w:rsidRPr="009E1178" w:rsidRDefault="00BF6772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</w:t>
            </w:r>
          </w:p>
        </w:tc>
        <w:tc>
          <w:tcPr>
            <w:tcW w:w="1173" w:type="dxa"/>
            <w:vAlign w:val="center"/>
          </w:tcPr>
          <w:p w:rsidR="00B974A5" w:rsidRPr="009E1178" w:rsidRDefault="00BF6772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22,5</w:t>
            </w:r>
          </w:p>
        </w:tc>
      </w:tr>
      <w:tr w:rsidR="00B974A5" w:rsidRPr="009E1178" w:rsidTr="009E1178">
        <w:trPr>
          <w:trHeight w:val="292"/>
        </w:trPr>
        <w:tc>
          <w:tcPr>
            <w:tcW w:w="1173" w:type="dxa"/>
            <w:vAlign w:val="center"/>
          </w:tcPr>
          <w:p w:rsidR="00B974A5" w:rsidRPr="009E1178" w:rsidRDefault="009E1178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0,899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3,774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3,780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3,785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11,339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</w:t>
            </w:r>
          </w:p>
        </w:tc>
        <w:tc>
          <w:tcPr>
            <w:tcW w:w="1173" w:type="dxa"/>
            <w:vAlign w:val="center"/>
          </w:tcPr>
          <w:p w:rsidR="00B974A5" w:rsidRPr="009E1178" w:rsidRDefault="00BF6772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</w:t>
            </w:r>
          </w:p>
        </w:tc>
        <w:tc>
          <w:tcPr>
            <w:tcW w:w="1173" w:type="dxa"/>
            <w:vAlign w:val="center"/>
          </w:tcPr>
          <w:p w:rsidR="00B974A5" w:rsidRPr="009E1178" w:rsidRDefault="00BF6772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</w:t>
            </w:r>
          </w:p>
        </w:tc>
        <w:tc>
          <w:tcPr>
            <w:tcW w:w="1173" w:type="dxa"/>
            <w:vAlign w:val="center"/>
          </w:tcPr>
          <w:p w:rsidR="00B974A5" w:rsidRPr="009E1178" w:rsidRDefault="00B974A5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B974A5" w:rsidRPr="009E1178" w:rsidTr="009E1178">
        <w:trPr>
          <w:trHeight w:val="292"/>
        </w:trPr>
        <w:tc>
          <w:tcPr>
            <w:tcW w:w="1173" w:type="dxa"/>
            <w:vAlign w:val="center"/>
          </w:tcPr>
          <w:p w:rsidR="00B974A5" w:rsidRPr="009E1178" w:rsidRDefault="009E1178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0,949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3,774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3,780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3,785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11,339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</w:t>
            </w:r>
          </w:p>
        </w:tc>
        <w:tc>
          <w:tcPr>
            <w:tcW w:w="1173" w:type="dxa"/>
            <w:vAlign w:val="center"/>
          </w:tcPr>
          <w:p w:rsidR="00B974A5" w:rsidRPr="009E1178" w:rsidRDefault="00BF6772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</w:t>
            </w:r>
          </w:p>
        </w:tc>
        <w:tc>
          <w:tcPr>
            <w:tcW w:w="1173" w:type="dxa"/>
            <w:vAlign w:val="center"/>
          </w:tcPr>
          <w:p w:rsidR="00B974A5" w:rsidRPr="009E1178" w:rsidRDefault="00BF6772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</w:t>
            </w:r>
          </w:p>
        </w:tc>
        <w:tc>
          <w:tcPr>
            <w:tcW w:w="1173" w:type="dxa"/>
            <w:vAlign w:val="center"/>
          </w:tcPr>
          <w:p w:rsidR="00B974A5" w:rsidRPr="009E1178" w:rsidRDefault="00B974A5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B974A5" w:rsidRPr="009E1178" w:rsidTr="009E1178">
        <w:trPr>
          <w:trHeight w:val="292"/>
        </w:trPr>
        <w:tc>
          <w:tcPr>
            <w:tcW w:w="1173" w:type="dxa"/>
            <w:vAlign w:val="center"/>
          </w:tcPr>
          <w:p w:rsidR="00B974A5" w:rsidRPr="009E1178" w:rsidRDefault="009E1178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0,999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3,774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3,780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3,785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11,339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</w:t>
            </w:r>
          </w:p>
        </w:tc>
        <w:tc>
          <w:tcPr>
            <w:tcW w:w="1173" w:type="dxa"/>
            <w:vAlign w:val="center"/>
          </w:tcPr>
          <w:p w:rsidR="00B974A5" w:rsidRPr="009E1178" w:rsidRDefault="00BF6772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</w:t>
            </w:r>
          </w:p>
        </w:tc>
        <w:tc>
          <w:tcPr>
            <w:tcW w:w="1173" w:type="dxa"/>
            <w:vAlign w:val="center"/>
          </w:tcPr>
          <w:p w:rsidR="00B974A5" w:rsidRPr="009E1178" w:rsidRDefault="00BF6772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</w:t>
            </w:r>
          </w:p>
        </w:tc>
        <w:tc>
          <w:tcPr>
            <w:tcW w:w="1173" w:type="dxa"/>
            <w:vAlign w:val="center"/>
          </w:tcPr>
          <w:p w:rsidR="00B974A5" w:rsidRPr="009E1178" w:rsidRDefault="00B974A5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B974A5" w:rsidRPr="009E1178" w:rsidTr="009E1178">
        <w:trPr>
          <w:trHeight w:val="292"/>
        </w:trPr>
        <w:tc>
          <w:tcPr>
            <w:tcW w:w="1173" w:type="dxa"/>
            <w:vAlign w:val="center"/>
          </w:tcPr>
          <w:p w:rsidR="00B974A5" w:rsidRPr="009E1178" w:rsidRDefault="009E1178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1,049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3,774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3,780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3,785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11,339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</w:t>
            </w:r>
          </w:p>
        </w:tc>
        <w:tc>
          <w:tcPr>
            <w:tcW w:w="1173" w:type="dxa"/>
            <w:vAlign w:val="center"/>
          </w:tcPr>
          <w:p w:rsidR="00B974A5" w:rsidRPr="009E1178" w:rsidRDefault="00BF6772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</w:t>
            </w:r>
          </w:p>
        </w:tc>
        <w:tc>
          <w:tcPr>
            <w:tcW w:w="1173" w:type="dxa"/>
            <w:vAlign w:val="center"/>
          </w:tcPr>
          <w:p w:rsidR="00B974A5" w:rsidRPr="009E1178" w:rsidRDefault="00BF6772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</w:t>
            </w:r>
          </w:p>
        </w:tc>
        <w:tc>
          <w:tcPr>
            <w:tcW w:w="1173" w:type="dxa"/>
            <w:vAlign w:val="center"/>
          </w:tcPr>
          <w:p w:rsidR="00B974A5" w:rsidRPr="009E1178" w:rsidRDefault="00B974A5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B974A5" w:rsidRPr="009E1178" w:rsidTr="009E1178">
        <w:trPr>
          <w:trHeight w:val="292"/>
        </w:trPr>
        <w:tc>
          <w:tcPr>
            <w:tcW w:w="1173" w:type="dxa"/>
            <w:vAlign w:val="center"/>
          </w:tcPr>
          <w:p w:rsidR="00B974A5" w:rsidRPr="009E1178" w:rsidRDefault="009E1178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1,</w:t>
            </w:r>
            <w:r w:rsidR="00F47DBF">
              <w:rPr>
                <w:sz w:val="18"/>
                <w:szCs w:val="18"/>
                <w:lang w:val="cs-CZ"/>
              </w:rPr>
              <w:t>099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3,774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3,780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3,785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11,339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</w:t>
            </w:r>
          </w:p>
        </w:tc>
        <w:tc>
          <w:tcPr>
            <w:tcW w:w="1173" w:type="dxa"/>
            <w:vAlign w:val="center"/>
          </w:tcPr>
          <w:p w:rsidR="00B974A5" w:rsidRPr="009E1178" w:rsidRDefault="00BF6772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</w:t>
            </w:r>
          </w:p>
        </w:tc>
        <w:tc>
          <w:tcPr>
            <w:tcW w:w="1173" w:type="dxa"/>
            <w:vAlign w:val="center"/>
          </w:tcPr>
          <w:p w:rsidR="00B974A5" w:rsidRPr="009E1178" w:rsidRDefault="00BF6772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</w:t>
            </w:r>
          </w:p>
        </w:tc>
        <w:tc>
          <w:tcPr>
            <w:tcW w:w="1173" w:type="dxa"/>
            <w:vAlign w:val="center"/>
          </w:tcPr>
          <w:p w:rsidR="00B974A5" w:rsidRPr="009E1178" w:rsidRDefault="00B974A5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B974A5" w:rsidRPr="009E1178" w:rsidTr="009E1178">
        <w:trPr>
          <w:trHeight w:val="292"/>
        </w:trPr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1,149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3,774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3,780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3,785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11,339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</w:t>
            </w:r>
          </w:p>
        </w:tc>
        <w:tc>
          <w:tcPr>
            <w:tcW w:w="1173" w:type="dxa"/>
            <w:vAlign w:val="center"/>
          </w:tcPr>
          <w:p w:rsidR="00B974A5" w:rsidRPr="009E1178" w:rsidRDefault="00BF6772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</w:t>
            </w:r>
          </w:p>
        </w:tc>
        <w:tc>
          <w:tcPr>
            <w:tcW w:w="1173" w:type="dxa"/>
            <w:vAlign w:val="center"/>
          </w:tcPr>
          <w:p w:rsidR="00B974A5" w:rsidRPr="009E1178" w:rsidRDefault="00BF6772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</w:t>
            </w:r>
          </w:p>
        </w:tc>
        <w:tc>
          <w:tcPr>
            <w:tcW w:w="1173" w:type="dxa"/>
            <w:vAlign w:val="center"/>
          </w:tcPr>
          <w:p w:rsidR="00B974A5" w:rsidRPr="009E1178" w:rsidRDefault="00B974A5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B974A5" w:rsidRPr="009E1178" w:rsidTr="009E1178">
        <w:trPr>
          <w:trHeight w:val="292"/>
        </w:trPr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1,199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3,774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3,780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3,785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11,339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</w:t>
            </w:r>
          </w:p>
        </w:tc>
        <w:tc>
          <w:tcPr>
            <w:tcW w:w="1173" w:type="dxa"/>
            <w:vAlign w:val="center"/>
          </w:tcPr>
          <w:p w:rsidR="00B974A5" w:rsidRPr="009E1178" w:rsidRDefault="00BF6772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</w:t>
            </w:r>
          </w:p>
        </w:tc>
        <w:tc>
          <w:tcPr>
            <w:tcW w:w="1173" w:type="dxa"/>
            <w:vAlign w:val="center"/>
          </w:tcPr>
          <w:p w:rsidR="00B974A5" w:rsidRPr="009E1178" w:rsidRDefault="00BF6772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</w:t>
            </w:r>
          </w:p>
        </w:tc>
        <w:tc>
          <w:tcPr>
            <w:tcW w:w="1173" w:type="dxa"/>
            <w:vAlign w:val="center"/>
          </w:tcPr>
          <w:p w:rsidR="00B974A5" w:rsidRPr="009E1178" w:rsidRDefault="00B974A5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170614" w:rsidRPr="009E1178" w:rsidTr="00BF6772">
        <w:trPr>
          <w:trHeight w:val="292"/>
        </w:trPr>
        <w:tc>
          <w:tcPr>
            <w:tcW w:w="1173" w:type="dxa"/>
            <w:shd w:val="clear" w:color="auto" w:fill="FDF0C9" w:themeFill="accent4" w:themeFillTint="66"/>
            <w:vAlign w:val="center"/>
          </w:tcPr>
          <w:p w:rsidR="00170614" w:rsidRPr="00BF6772" w:rsidRDefault="00170614" w:rsidP="009E1178">
            <w:pPr>
              <w:pStyle w:val="Bezmezer"/>
              <w:jc w:val="center"/>
              <w:rPr>
                <w:color w:val="000000" w:themeColor="text1"/>
                <w:sz w:val="18"/>
                <w:szCs w:val="18"/>
                <w:lang w:val="cs-CZ"/>
              </w:rPr>
            </w:pPr>
            <w:r w:rsidRPr="00BF6772">
              <w:rPr>
                <w:color w:val="000000" w:themeColor="text1"/>
                <w:sz w:val="18"/>
                <w:szCs w:val="18"/>
                <w:lang w:val="cs-CZ"/>
              </w:rPr>
              <w:t>1,249</w:t>
            </w:r>
          </w:p>
        </w:tc>
        <w:tc>
          <w:tcPr>
            <w:tcW w:w="1173" w:type="dxa"/>
            <w:shd w:val="clear" w:color="auto" w:fill="FDF0C9" w:themeFill="accent4" w:themeFillTint="66"/>
            <w:vAlign w:val="center"/>
          </w:tcPr>
          <w:p w:rsidR="00170614" w:rsidRPr="00BF6772" w:rsidRDefault="00170614" w:rsidP="009E1178">
            <w:pPr>
              <w:pStyle w:val="Bezmezer"/>
              <w:jc w:val="center"/>
              <w:rPr>
                <w:color w:val="000000" w:themeColor="text1"/>
                <w:sz w:val="18"/>
                <w:szCs w:val="18"/>
                <w:lang w:val="cs-CZ"/>
              </w:rPr>
            </w:pPr>
            <w:r w:rsidRPr="00BF6772">
              <w:rPr>
                <w:color w:val="000000" w:themeColor="text1"/>
                <w:sz w:val="18"/>
                <w:szCs w:val="18"/>
                <w:lang w:val="cs-CZ"/>
              </w:rPr>
              <w:t>3,772</w:t>
            </w:r>
          </w:p>
        </w:tc>
        <w:tc>
          <w:tcPr>
            <w:tcW w:w="1173" w:type="dxa"/>
            <w:shd w:val="clear" w:color="auto" w:fill="FDF0C9" w:themeFill="accent4" w:themeFillTint="66"/>
            <w:vAlign w:val="center"/>
          </w:tcPr>
          <w:p w:rsidR="00170614" w:rsidRPr="00BF6772" w:rsidRDefault="00170614" w:rsidP="009E1178">
            <w:pPr>
              <w:pStyle w:val="Bezmezer"/>
              <w:jc w:val="center"/>
              <w:rPr>
                <w:color w:val="000000" w:themeColor="text1"/>
                <w:sz w:val="18"/>
                <w:szCs w:val="18"/>
                <w:lang w:val="cs-CZ"/>
              </w:rPr>
            </w:pPr>
            <w:r w:rsidRPr="00BF6772">
              <w:rPr>
                <w:color w:val="000000" w:themeColor="text1"/>
                <w:sz w:val="18"/>
                <w:szCs w:val="18"/>
                <w:lang w:val="cs-CZ"/>
              </w:rPr>
              <w:t>3,779</w:t>
            </w:r>
          </w:p>
        </w:tc>
        <w:tc>
          <w:tcPr>
            <w:tcW w:w="1173" w:type="dxa"/>
            <w:shd w:val="clear" w:color="auto" w:fill="FDF0C9" w:themeFill="accent4" w:themeFillTint="66"/>
            <w:vAlign w:val="center"/>
          </w:tcPr>
          <w:p w:rsidR="00170614" w:rsidRPr="00BF6772" w:rsidRDefault="00170614" w:rsidP="009E1178">
            <w:pPr>
              <w:pStyle w:val="Bezmezer"/>
              <w:jc w:val="center"/>
              <w:rPr>
                <w:color w:val="000000" w:themeColor="text1"/>
                <w:sz w:val="18"/>
                <w:szCs w:val="18"/>
                <w:lang w:val="cs-CZ"/>
              </w:rPr>
            </w:pPr>
            <w:r w:rsidRPr="00BF6772">
              <w:rPr>
                <w:color w:val="000000" w:themeColor="text1"/>
                <w:sz w:val="18"/>
                <w:szCs w:val="18"/>
                <w:lang w:val="cs-CZ"/>
              </w:rPr>
              <w:t>3,784</w:t>
            </w:r>
          </w:p>
        </w:tc>
        <w:tc>
          <w:tcPr>
            <w:tcW w:w="1173" w:type="dxa"/>
            <w:shd w:val="clear" w:color="auto" w:fill="FDF0C9" w:themeFill="accent4" w:themeFillTint="66"/>
            <w:vAlign w:val="center"/>
          </w:tcPr>
          <w:p w:rsidR="00170614" w:rsidRPr="00BF6772" w:rsidRDefault="00170614" w:rsidP="009E1178">
            <w:pPr>
              <w:pStyle w:val="Bezmezer"/>
              <w:jc w:val="center"/>
              <w:rPr>
                <w:color w:val="000000" w:themeColor="text1"/>
                <w:sz w:val="18"/>
                <w:szCs w:val="18"/>
                <w:lang w:val="cs-CZ"/>
              </w:rPr>
            </w:pPr>
            <w:r w:rsidRPr="00BF6772">
              <w:rPr>
                <w:color w:val="000000" w:themeColor="text1"/>
                <w:sz w:val="18"/>
                <w:szCs w:val="18"/>
                <w:lang w:val="cs-CZ"/>
              </w:rPr>
              <w:t>11,335</w:t>
            </w:r>
          </w:p>
        </w:tc>
        <w:tc>
          <w:tcPr>
            <w:tcW w:w="1173" w:type="dxa"/>
            <w:shd w:val="clear" w:color="auto" w:fill="FDF0C9" w:themeFill="accent4" w:themeFillTint="66"/>
            <w:vAlign w:val="center"/>
          </w:tcPr>
          <w:p w:rsidR="00170614" w:rsidRPr="00BF6772" w:rsidRDefault="00170614" w:rsidP="009E1178">
            <w:pPr>
              <w:pStyle w:val="Bezmezer"/>
              <w:jc w:val="center"/>
              <w:rPr>
                <w:color w:val="000000" w:themeColor="text1"/>
                <w:sz w:val="18"/>
                <w:szCs w:val="18"/>
                <w:lang w:val="cs-CZ"/>
              </w:rPr>
            </w:pPr>
            <w:r w:rsidRPr="00BF6772">
              <w:rPr>
                <w:color w:val="000000" w:themeColor="text1"/>
                <w:sz w:val="18"/>
                <w:szCs w:val="18"/>
                <w:lang w:val="cs-CZ"/>
              </w:rPr>
              <w:t>11,492</w:t>
            </w:r>
          </w:p>
        </w:tc>
        <w:tc>
          <w:tcPr>
            <w:tcW w:w="1173" w:type="dxa"/>
            <w:shd w:val="clear" w:color="auto" w:fill="FDF0C9" w:themeFill="accent4" w:themeFillTint="66"/>
            <w:vAlign w:val="center"/>
          </w:tcPr>
          <w:p w:rsidR="00170614" w:rsidRPr="00BF6772" w:rsidRDefault="00170614" w:rsidP="009E1178">
            <w:pPr>
              <w:pStyle w:val="Bezmezer"/>
              <w:jc w:val="center"/>
              <w:rPr>
                <w:color w:val="000000" w:themeColor="text1"/>
                <w:sz w:val="18"/>
                <w:szCs w:val="18"/>
                <w:lang w:val="cs-CZ"/>
              </w:rPr>
            </w:pPr>
            <w:r w:rsidRPr="00BF6772">
              <w:rPr>
                <w:color w:val="000000" w:themeColor="text1"/>
                <w:sz w:val="18"/>
                <w:szCs w:val="18"/>
                <w:lang w:val="cs-CZ"/>
              </w:rPr>
              <w:t>0,0003</w:t>
            </w:r>
          </w:p>
        </w:tc>
        <w:tc>
          <w:tcPr>
            <w:tcW w:w="1173" w:type="dxa"/>
            <w:shd w:val="clear" w:color="auto" w:fill="FDF0C9" w:themeFill="accent4" w:themeFillTint="66"/>
            <w:vAlign w:val="center"/>
          </w:tcPr>
          <w:p w:rsidR="00170614" w:rsidRPr="00BF6772" w:rsidRDefault="00170614" w:rsidP="009E1178">
            <w:pPr>
              <w:pStyle w:val="Bezmezer"/>
              <w:jc w:val="center"/>
              <w:rPr>
                <w:color w:val="000000" w:themeColor="text1"/>
                <w:sz w:val="18"/>
                <w:szCs w:val="18"/>
                <w:lang w:val="cs-CZ"/>
              </w:rPr>
            </w:pPr>
            <w:r w:rsidRPr="00BF6772">
              <w:rPr>
                <w:color w:val="000000" w:themeColor="text1"/>
                <w:sz w:val="18"/>
                <w:szCs w:val="18"/>
                <w:lang w:val="cs-CZ"/>
              </w:rPr>
              <w:t>1226,6</w:t>
            </w:r>
          </w:p>
        </w:tc>
        <w:tc>
          <w:tcPr>
            <w:tcW w:w="1173" w:type="dxa"/>
            <w:vMerge w:val="restart"/>
            <w:shd w:val="clear" w:color="auto" w:fill="FDF0C9" w:themeFill="accent4" w:themeFillTint="66"/>
            <w:vAlign w:val="center"/>
          </w:tcPr>
          <w:p w:rsidR="00170614" w:rsidRPr="009E1178" w:rsidRDefault="00170614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přechodový</w:t>
            </w:r>
          </w:p>
          <w:p w:rsidR="00170614" w:rsidRPr="009E1178" w:rsidRDefault="00170614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stav</w:t>
            </w:r>
          </w:p>
        </w:tc>
      </w:tr>
      <w:tr w:rsidR="00170614" w:rsidRPr="009E1178" w:rsidTr="00BF6772">
        <w:trPr>
          <w:trHeight w:val="292"/>
        </w:trPr>
        <w:tc>
          <w:tcPr>
            <w:tcW w:w="1173" w:type="dxa"/>
            <w:shd w:val="clear" w:color="auto" w:fill="FDF0C9" w:themeFill="accent4" w:themeFillTint="66"/>
            <w:vAlign w:val="center"/>
          </w:tcPr>
          <w:p w:rsidR="00170614" w:rsidRPr="00BF6772" w:rsidRDefault="00170614" w:rsidP="009E1178">
            <w:pPr>
              <w:pStyle w:val="Bezmezer"/>
              <w:jc w:val="center"/>
              <w:rPr>
                <w:color w:val="000000" w:themeColor="text1"/>
                <w:sz w:val="18"/>
                <w:szCs w:val="18"/>
                <w:lang w:val="cs-CZ"/>
              </w:rPr>
            </w:pPr>
            <w:r w:rsidRPr="00BF6772">
              <w:rPr>
                <w:color w:val="000000" w:themeColor="text1"/>
                <w:sz w:val="18"/>
                <w:szCs w:val="18"/>
                <w:lang w:val="cs-CZ"/>
              </w:rPr>
              <w:t>1,299</w:t>
            </w:r>
          </w:p>
        </w:tc>
        <w:tc>
          <w:tcPr>
            <w:tcW w:w="1173" w:type="dxa"/>
            <w:shd w:val="clear" w:color="auto" w:fill="FDF0C9" w:themeFill="accent4" w:themeFillTint="66"/>
            <w:vAlign w:val="center"/>
          </w:tcPr>
          <w:p w:rsidR="00170614" w:rsidRPr="00BF6772" w:rsidRDefault="00170614" w:rsidP="009E1178">
            <w:pPr>
              <w:pStyle w:val="Bezmezer"/>
              <w:jc w:val="center"/>
              <w:rPr>
                <w:color w:val="000000" w:themeColor="text1"/>
                <w:sz w:val="18"/>
                <w:szCs w:val="18"/>
                <w:lang w:val="cs-CZ"/>
              </w:rPr>
            </w:pPr>
            <w:r w:rsidRPr="00BF6772">
              <w:rPr>
                <w:color w:val="000000" w:themeColor="text1"/>
                <w:sz w:val="18"/>
                <w:szCs w:val="18"/>
                <w:lang w:val="cs-CZ"/>
              </w:rPr>
              <w:t>3,722</w:t>
            </w:r>
          </w:p>
        </w:tc>
        <w:tc>
          <w:tcPr>
            <w:tcW w:w="1173" w:type="dxa"/>
            <w:shd w:val="clear" w:color="auto" w:fill="FDF0C9" w:themeFill="accent4" w:themeFillTint="66"/>
            <w:vAlign w:val="center"/>
          </w:tcPr>
          <w:p w:rsidR="00170614" w:rsidRPr="00BF6772" w:rsidRDefault="00170614" w:rsidP="009E1178">
            <w:pPr>
              <w:pStyle w:val="Bezmezer"/>
              <w:jc w:val="center"/>
              <w:rPr>
                <w:color w:val="000000" w:themeColor="text1"/>
                <w:sz w:val="18"/>
                <w:szCs w:val="18"/>
                <w:lang w:val="cs-CZ"/>
              </w:rPr>
            </w:pPr>
            <w:r w:rsidRPr="00BF6772">
              <w:rPr>
                <w:color w:val="000000" w:themeColor="text1"/>
                <w:sz w:val="18"/>
                <w:szCs w:val="18"/>
                <w:lang w:val="cs-CZ"/>
              </w:rPr>
              <w:t>3,734</w:t>
            </w:r>
          </w:p>
        </w:tc>
        <w:tc>
          <w:tcPr>
            <w:tcW w:w="1173" w:type="dxa"/>
            <w:shd w:val="clear" w:color="auto" w:fill="FDF0C9" w:themeFill="accent4" w:themeFillTint="66"/>
            <w:vAlign w:val="center"/>
          </w:tcPr>
          <w:p w:rsidR="00170614" w:rsidRPr="00BF6772" w:rsidRDefault="00170614" w:rsidP="009E1178">
            <w:pPr>
              <w:pStyle w:val="Bezmezer"/>
              <w:jc w:val="center"/>
              <w:rPr>
                <w:color w:val="000000" w:themeColor="text1"/>
                <w:sz w:val="18"/>
                <w:szCs w:val="18"/>
                <w:lang w:val="cs-CZ"/>
              </w:rPr>
            </w:pPr>
            <w:r w:rsidRPr="00BF6772">
              <w:rPr>
                <w:color w:val="000000" w:themeColor="text1"/>
                <w:sz w:val="18"/>
                <w:szCs w:val="18"/>
                <w:lang w:val="cs-CZ"/>
              </w:rPr>
              <w:t>3,735</w:t>
            </w:r>
          </w:p>
        </w:tc>
        <w:tc>
          <w:tcPr>
            <w:tcW w:w="1173" w:type="dxa"/>
            <w:shd w:val="clear" w:color="auto" w:fill="FDF0C9" w:themeFill="accent4" w:themeFillTint="66"/>
            <w:vAlign w:val="center"/>
          </w:tcPr>
          <w:p w:rsidR="00170614" w:rsidRPr="00BF6772" w:rsidRDefault="00170614" w:rsidP="009E1178">
            <w:pPr>
              <w:pStyle w:val="Bezmezer"/>
              <w:jc w:val="center"/>
              <w:rPr>
                <w:color w:val="000000" w:themeColor="text1"/>
                <w:sz w:val="18"/>
                <w:szCs w:val="18"/>
                <w:lang w:val="cs-CZ"/>
              </w:rPr>
            </w:pPr>
            <w:r w:rsidRPr="00BF6772">
              <w:rPr>
                <w:color w:val="000000" w:themeColor="text1"/>
                <w:sz w:val="18"/>
                <w:szCs w:val="18"/>
                <w:lang w:val="cs-CZ"/>
              </w:rPr>
              <w:t>11,191</w:t>
            </w:r>
          </w:p>
        </w:tc>
        <w:tc>
          <w:tcPr>
            <w:tcW w:w="1173" w:type="dxa"/>
            <w:shd w:val="clear" w:color="auto" w:fill="FDF0C9" w:themeFill="accent4" w:themeFillTint="66"/>
            <w:vAlign w:val="center"/>
          </w:tcPr>
          <w:p w:rsidR="00170614" w:rsidRPr="00BF6772" w:rsidRDefault="00170614" w:rsidP="009E1178">
            <w:pPr>
              <w:pStyle w:val="Bezmezer"/>
              <w:jc w:val="center"/>
              <w:rPr>
                <w:color w:val="000000" w:themeColor="text1"/>
                <w:sz w:val="18"/>
                <w:szCs w:val="18"/>
                <w:lang w:val="cs-CZ"/>
              </w:rPr>
            </w:pPr>
            <w:r w:rsidRPr="00BF6772">
              <w:rPr>
                <w:color w:val="000000" w:themeColor="text1"/>
                <w:sz w:val="18"/>
                <w:szCs w:val="18"/>
                <w:lang w:val="cs-CZ"/>
              </w:rPr>
              <w:t>11,346</w:t>
            </w:r>
          </w:p>
        </w:tc>
        <w:tc>
          <w:tcPr>
            <w:tcW w:w="1173" w:type="dxa"/>
            <w:shd w:val="clear" w:color="auto" w:fill="FDF0C9" w:themeFill="accent4" w:themeFillTint="66"/>
            <w:vAlign w:val="center"/>
          </w:tcPr>
          <w:p w:rsidR="00170614" w:rsidRPr="00BF6772" w:rsidRDefault="00170614" w:rsidP="009E1178">
            <w:pPr>
              <w:pStyle w:val="Bezmezer"/>
              <w:jc w:val="center"/>
              <w:rPr>
                <w:color w:val="000000" w:themeColor="text1"/>
                <w:sz w:val="18"/>
                <w:szCs w:val="18"/>
                <w:lang w:val="cs-CZ"/>
              </w:rPr>
            </w:pPr>
            <w:r w:rsidRPr="00BF6772">
              <w:rPr>
                <w:color w:val="000000" w:themeColor="text1"/>
                <w:sz w:val="18"/>
                <w:szCs w:val="18"/>
                <w:lang w:val="cs-CZ"/>
              </w:rPr>
              <w:t>0,0130</w:t>
            </w:r>
          </w:p>
        </w:tc>
        <w:tc>
          <w:tcPr>
            <w:tcW w:w="1173" w:type="dxa"/>
            <w:shd w:val="clear" w:color="auto" w:fill="FDF0C9" w:themeFill="accent4" w:themeFillTint="66"/>
            <w:vAlign w:val="center"/>
          </w:tcPr>
          <w:p w:rsidR="00170614" w:rsidRPr="00BF6772" w:rsidRDefault="00170614" w:rsidP="009E1178">
            <w:pPr>
              <w:pStyle w:val="Bezmezer"/>
              <w:jc w:val="center"/>
              <w:rPr>
                <w:color w:val="000000" w:themeColor="text1"/>
                <w:sz w:val="18"/>
                <w:szCs w:val="18"/>
                <w:lang w:val="cs-CZ"/>
              </w:rPr>
            </w:pPr>
            <w:r w:rsidRPr="00BF6772">
              <w:rPr>
                <w:color w:val="000000" w:themeColor="text1"/>
                <w:sz w:val="18"/>
                <w:szCs w:val="18"/>
                <w:lang w:val="cs-CZ"/>
              </w:rPr>
              <w:t>32,7</w:t>
            </w:r>
          </w:p>
        </w:tc>
        <w:tc>
          <w:tcPr>
            <w:tcW w:w="1173" w:type="dxa"/>
            <w:vMerge/>
            <w:shd w:val="clear" w:color="auto" w:fill="FDF0C9" w:themeFill="accent4" w:themeFillTint="66"/>
            <w:vAlign w:val="center"/>
          </w:tcPr>
          <w:p w:rsidR="00170614" w:rsidRPr="009E1178" w:rsidRDefault="00170614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B974A5" w:rsidRPr="009E1178" w:rsidTr="009E1178">
        <w:trPr>
          <w:trHeight w:val="292"/>
        </w:trPr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lastRenderedPageBreak/>
              <w:t>1,349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3,704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3,717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3,718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11,169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11,294</w:t>
            </w:r>
          </w:p>
        </w:tc>
        <w:tc>
          <w:tcPr>
            <w:tcW w:w="1173" w:type="dxa"/>
            <w:vAlign w:val="center"/>
          </w:tcPr>
          <w:p w:rsidR="00B974A5" w:rsidRPr="0093579B" w:rsidRDefault="00BF6772" w:rsidP="009E1178">
            <w:pPr>
              <w:pStyle w:val="Bezmezer"/>
              <w:jc w:val="center"/>
              <w:rPr>
                <w:color w:val="00AC4E"/>
                <w:sz w:val="18"/>
                <w:szCs w:val="18"/>
                <w:lang w:val="cs-CZ"/>
              </w:rPr>
            </w:pPr>
            <w:r w:rsidRPr="0093579B">
              <w:rPr>
                <w:color w:val="00AC4E"/>
                <w:sz w:val="18"/>
                <w:szCs w:val="18"/>
                <w:lang w:val="cs-CZ"/>
              </w:rPr>
              <w:t>0,0177</w:t>
            </w:r>
          </w:p>
        </w:tc>
        <w:tc>
          <w:tcPr>
            <w:tcW w:w="1173" w:type="dxa"/>
            <w:vAlign w:val="center"/>
          </w:tcPr>
          <w:p w:rsidR="00B974A5" w:rsidRPr="009E1178" w:rsidRDefault="00BF6772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24,1</w:t>
            </w:r>
          </w:p>
        </w:tc>
        <w:tc>
          <w:tcPr>
            <w:tcW w:w="1173" w:type="dxa"/>
            <w:vAlign w:val="center"/>
          </w:tcPr>
          <w:p w:rsidR="00B974A5" w:rsidRPr="009E1178" w:rsidRDefault="00B974A5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B974A5" w:rsidRPr="009E1178" w:rsidTr="009E1178">
        <w:trPr>
          <w:trHeight w:val="292"/>
        </w:trPr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1,399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3,700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3,714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3,718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11,132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11,287</w:t>
            </w:r>
          </w:p>
        </w:tc>
        <w:tc>
          <w:tcPr>
            <w:tcW w:w="1173" w:type="dxa"/>
            <w:vAlign w:val="center"/>
          </w:tcPr>
          <w:p w:rsidR="00B974A5" w:rsidRPr="009E1178" w:rsidRDefault="00BF6772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0,0183</w:t>
            </w:r>
          </w:p>
        </w:tc>
        <w:tc>
          <w:tcPr>
            <w:tcW w:w="1173" w:type="dxa"/>
            <w:vAlign w:val="center"/>
          </w:tcPr>
          <w:p w:rsidR="00B974A5" w:rsidRPr="009E1178" w:rsidRDefault="00BF6772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23,3</w:t>
            </w:r>
          </w:p>
        </w:tc>
        <w:tc>
          <w:tcPr>
            <w:tcW w:w="1173" w:type="dxa"/>
            <w:vAlign w:val="center"/>
          </w:tcPr>
          <w:p w:rsidR="00B974A5" w:rsidRPr="009E1178" w:rsidRDefault="00B974A5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B974A5" w:rsidRPr="009E1178" w:rsidTr="009E1178">
        <w:trPr>
          <w:trHeight w:val="292"/>
        </w:trPr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1,449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3,700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3,712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3,717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11,129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11,284</w:t>
            </w:r>
          </w:p>
        </w:tc>
        <w:tc>
          <w:tcPr>
            <w:tcW w:w="1173" w:type="dxa"/>
            <w:vAlign w:val="center"/>
          </w:tcPr>
          <w:p w:rsidR="00B974A5" w:rsidRPr="009E1178" w:rsidRDefault="00BF6772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0,0186</w:t>
            </w:r>
          </w:p>
        </w:tc>
        <w:tc>
          <w:tcPr>
            <w:tcW w:w="1173" w:type="dxa"/>
            <w:vAlign w:val="center"/>
          </w:tcPr>
          <w:p w:rsidR="00B974A5" w:rsidRPr="009E1178" w:rsidRDefault="00BF6772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22,9</w:t>
            </w:r>
          </w:p>
        </w:tc>
        <w:tc>
          <w:tcPr>
            <w:tcW w:w="1173" w:type="dxa"/>
            <w:vAlign w:val="center"/>
          </w:tcPr>
          <w:p w:rsidR="00B974A5" w:rsidRPr="009E1178" w:rsidRDefault="00B974A5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B974A5" w:rsidRPr="009E1178" w:rsidTr="009E1178">
        <w:trPr>
          <w:trHeight w:val="292"/>
        </w:trPr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1,499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3,700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3,712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3,714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11,126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11,281</w:t>
            </w:r>
          </w:p>
        </w:tc>
        <w:tc>
          <w:tcPr>
            <w:tcW w:w="1173" w:type="dxa"/>
            <w:vAlign w:val="center"/>
          </w:tcPr>
          <w:p w:rsidR="00B974A5" w:rsidRPr="009E1178" w:rsidRDefault="00BF6772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0,0189</w:t>
            </w:r>
          </w:p>
        </w:tc>
        <w:tc>
          <w:tcPr>
            <w:tcW w:w="1173" w:type="dxa"/>
            <w:vAlign w:val="center"/>
          </w:tcPr>
          <w:p w:rsidR="00B974A5" w:rsidRPr="009E1178" w:rsidRDefault="00BF6772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22,6</w:t>
            </w:r>
          </w:p>
        </w:tc>
        <w:tc>
          <w:tcPr>
            <w:tcW w:w="1173" w:type="dxa"/>
            <w:vAlign w:val="center"/>
          </w:tcPr>
          <w:p w:rsidR="00B974A5" w:rsidRPr="009E1178" w:rsidRDefault="00B974A5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B974A5" w:rsidRPr="009E1178" w:rsidTr="009E1178">
        <w:trPr>
          <w:trHeight w:val="292"/>
        </w:trPr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1,549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F47DBF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3,699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3,711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3,712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11,122</w:t>
            </w:r>
          </w:p>
        </w:tc>
        <w:tc>
          <w:tcPr>
            <w:tcW w:w="1173" w:type="dxa"/>
            <w:vAlign w:val="center"/>
          </w:tcPr>
          <w:p w:rsidR="00B974A5" w:rsidRPr="009E1178" w:rsidRDefault="00BF6772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11,276</w:t>
            </w:r>
          </w:p>
        </w:tc>
        <w:tc>
          <w:tcPr>
            <w:tcW w:w="1173" w:type="dxa"/>
            <w:vAlign w:val="center"/>
          </w:tcPr>
          <w:p w:rsidR="00B974A5" w:rsidRPr="009E1178" w:rsidRDefault="00BF6772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0,0192</w:t>
            </w:r>
          </w:p>
        </w:tc>
        <w:tc>
          <w:tcPr>
            <w:tcW w:w="1173" w:type="dxa"/>
            <w:vAlign w:val="center"/>
          </w:tcPr>
          <w:p w:rsidR="00B974A5" w:rsidRPr="009E1178" w:rsidRDefault="00BF6772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21,2</w:t>
            </w:r>
          </w:p>
        </w:tc>
        <w:tc>
          <w:tcPr>
            <w:tcW w:w="1173" w:type="dxa"/>
            <w:vAlign w:val="center"/>
          </w:tcPr>
          <w:p w:rsidR="00B974A5" w:rsidRPr="009E1178" w:rsidRDefault="00B974A5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B974A5" w:rsidRPr="009E1178" w:rsidTr="009E1178">
        <w:trPr>
          <w:trHeight w:val="292"/>
        </w:trPr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1,599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3,698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3,709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3,712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11,119</w:t>
            </w:r>
          </w:p>
        </w:tc>
        <w:tc>
          <w:tcPr>
            <w:tcW w:w="1173" w:type="dxa"/>
            <w:vAlign w:val="center"/>
          </w:tcPr>
          <w:p w:rsidR="00B974A5" w:rsidRPr="009E1178" w:rsidRDefault="00BF6772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11,273</w:t>
            </w:r>
          </w:p>
        </w:tc>
        <w:tc>
          <w:tcPr>
            <w:tcW w:w="1173" w:type="dxa"/>
            <w:vAlign w:val="center"/>
          </w:tcPr>
          <w:p w:rsidR="00B974A5" w:rsidRPr="009E1178" w:rsidRDefault="00BF6772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0,0195</w:t>
            </w:r>
          </w:p>
        </w:tc>
        <w:tc>
          <w:tcPr>
            <w:tcW w:w="1173" w:type="dxa"/>
            <w:vAlign w:val="center"/>
          </w:tcPr>
          <w:p w:rsidR="00B974A5" w:rsidRPr="009E1178" w:rsidRDefault="00BF6772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21,9</w:t>
            </w:r>
          </w:p>
        </w:tc>
        <w:tc>
          <w:tcPr>
            <w:tcW w:w="1173" w:type="dxa"/>
            <w:vAlign w:val="center"/>
          </w:tcPr>
          <w:p w:rsidR="00B974A5" w:rsidRPr="009E1178" w:rsidRDefault="00B974A5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B974A5" w:rsidRPr="009E1178" w:rsidTr="009E1178">
        <w:trPr>
          <w:trHeight w:val="312"/>
        </w:trPr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1,649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3,697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3,709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3,712</w:t>
            </w:r>
          </w:p>
        </w:tc>
        <w:tc>
          <w:tcPr>
            <w:tcW w:w="1173" w:type="dxa"/>
            <w:vAlign w:val="center"/>
          </w:tcPr>
          <w:p w:rsidR="00B974A5" w:rsidRPr="009E1178" w:rsidRDefault="00F47DBF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11,118</w:t>
            </w:r>
          </w:p>
        </w:tc>
        <w:tc>
          <w:tcPr>
            <w:tcW w:w="1173" w:type="dxa"/>
            <w:vAlign w:val="center"/>
          </w:tcPr>
          <w:p w:rsidR="00B974A5" w:rsidRPr="009E1178" w:rsidRDefault="00BF6772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11,272</w:t>
            </w:r>
          </w:p>
        </w:tc>
        <w:tc>
          <w:tcPr>
            <w:tcW w:w="1173" w:type="dxa"/>
            <w:vAlign w:val="center"/>
          </w:tcPr>
          <w:p w:rsidR="00B974A5" w:rsidRPr="009E1178" w:rsidRDefault="00BF6772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0,0196</w:t>
            </w:r>
          </w:p>
        </w:tc>
        <w:tc>
          <w:tcPr>
            <w:tcW w:w="1173" w:type="dxa"/>
            <w:vAlign w:val="center"/>
          </w:tcPr>
          <w:p w:rsidR="00B974A5" w:rsidRPr="009E1178" w:rsidRDefault="00BF6772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21,8</w:t>
            </w:r>
          </w:p>
        </w:tc>
        <w:tc>
          <w:tcPr>
            <w:tcW w:w="1173" w:type="dxa"/>
            <w:vAlign w:val="center"/>
          </w:tcPr>
          <w:p w:rsidR="00B974A5" w:rsidRPr="009E1178" w:rsidRDefault="00B974A5" w:rsidP="009E1178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</w:p>
        </w:tc>
      </w:tr>
    </w:tbl>
    <w:p w:rsidR="00B974A5" w:rsidRDefault="00B974A5" w:rsidP="00B974A5">
      <w:pPr>
        <w:pStyle w:val="Bezmezer"/>
        <w:jc w:val="center"/>
        <w:rPr>
          <w:sz w:val="18"/>
          <w:szCs w:val="18"/>
          <w:lang w:val="cs-CZ"/>
        </w:rPr>
      </w:pPr>
    </w:p>
    <w:p w:rsidR="003F0FDD" w:rsidRDefault="003F0FDD" w:rsidP="00B974A5">
      <w:pPr>
        <w:pStyle w:val="Bezmezer"/>
        <w:jc w:val="center"/>
        <w:rPr>
          <w:sz w:val="18"/>
          <w:szCs w:val="18"/>
          <w:lang w:val="cs-CZ"/>
        </w:rPr>
      </w:pPr>
    </w:p>
    <w:p w:rsidR="003F0FDD" w:rsidRDefault="00CA5A94" w:rsidP="00BF6772">
      <w:pPr>
        <w:pStyle w:val="Bezmezer"/>
        <w:rPr>
          <w:sz w:val="18"/>
          <w:szCs w:val="18"/>
          <w:lang w:val="cs-CZ"/>
        </w:rPr>
      </w:pPr>
      <w:r>
        <w:rPr>
          <w:noProof/>
          <w:sz w:val="18"/>
          <w:szCs w:val="18"/>
          <w:lang w:val="cs-CZ" w:eastAsia="cs-CZ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378.95pt;margin-top:108.9pt;width:92.25pt;height:31.65pt;z-index:251684864">
            <v:textbox>
              <w:txbxContent>
                <w:p w:rsidR="00170614" w:rsidRPr="00CE1E2E" w:rsidRDefault="00170614" w:rsidP="00CE1E2E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ustálené napětí po zatížení proudem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val="cs-CZ" w:eastAsia="cs-CZ" w:bidi="ar-SA"/>
        </w:rPr>
        <w:pict>
          <v:shape id="_x0000_s1059" type="#_x0000_t32" style="position:absolute;margin-left:275.45pt;margin-top:90.15pt;width:17.25pt;height:0;z-index:251688960" o:connectortype="straight" strokeweight="1pt">
            <v:stroke endarrow="block"/>
          </v:shape>
        </w:pict>
      </w:r>
      <w:r>
        <w:rPr>
          <w:noProof/>
          <w:sz w:val="18"/>
          <w:szCs w:val="18"/>
          <w:lang w:val="cs-CZ" w:eastAsia="cs-CZ" w:bidi="ar-SA"/>
        </w:rPr>
        <w:pict>
          <v:shape id="_x0000_s1056" type="#_x0000_t32" style="position:absolute;margin-left:346.7pt;margin-top:125.4pt;width:32.25pt;height:0;flip:x;z-index:251685888" o:connectortype="straight" strokeweight="1.25pt">
            <v:stroke endarrow="block"/>
          </v:shape>
        </w:pict>
      </w:r>
      <w:r>
        <w:rPr>
          <w:noProof/>
          <w:sz w:val="18"/>
          <w:szCs w:val="18"/>
          <w:lang w:val="cs-CZ" w:eastAsia="cs-CZ" w:bidi="ar-SA"/>
        </w:rPr>
        <w:pict>
          <v:shape id="_x0000_s1058" type="#_x0000_t32" style="position:absolute;margin-left:320.45pt;margin-top:65.4pt;width:58.5pt;height:0;flip:x;z-index:251687936" o:connectortype="straight" strokecolor="#0dff7a" strokeweight="1.25pt">
            <v:stroke endarrow="block"/>
          </v:shape>
        </w:pict>
      </w:r>
      <w:r>
        <w:rPr>
          <w:noProof/>
          <w:sz w:val="18"/>
          <w:szCs w:val="18"/>
          <w:lang w:val="cs-CZ" w:eastAsia="cs-CZ" w:bidi="ar-SA"/>
        </w:rPr>
        <w:pict>
          <v:shape id="_x0000_s1057" type="#_x0000_t202" style="position:absolute;margin-left:378.95pt;margin-top:44.4pt;width:109.5pt;height:55.5pt;z-index:251686912">
            <v:textbox>
              <w:txbxContent>
                <w:p w:rsidR="00170614" w:rsidRPr="00495FA0" w:rsidRDefault="00170614" w:rsidP="00495FA0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Ještě neustálené nap</w:t>
                  </w:r>
                  <w:r>
                    <w:rPr>
                      <w:sz w:val="18"/>
                      <w:szCs w:val="18"/>
                    </w:rPr>
                    <w:t>ě</w:t>
                  </w:r>
                  <w:r>
                    <w:rPr>
                      <w:sz w:val="18"/>
                      <w:szCs w:val="18"/>
                    </w:rPr>
                    <w:t>tí po zatížení proudem –  extremní hodnoty Ri a Céčka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val="cs-CZ" w:eastAsia="cs-CZ" w:bidi="ar-SA"/>
        </w:rPr>
        <w:pict>
          <v:shape id="_x0000_s1054" type="#_x0000_t202" style="position:absolute;margin-left:192.2pt;margin-top:85.65pt;width:83.25pt;height:28.5pt;z-index:251683840">
            <v:textbox>
              <w:txbxContent>
                <w:p w:rsidR="00170614" w:rsidRDefault="00170614" w:rsidP="00CE1E2E">
                  <w:pPr>
                    <w:pStyle w:val="Bezmezer"/>
                    <w:rPr>
                      <w:sz w:val="18"/>
                      <w:szCs w:val="18"/>
                    </w:rPr>
                  </w:pPr>
                  <w:r w:rsidRPr="00CE1E2E">
                    <w:rPr>
                      <w:sz w:val="18"/>
                      <w:szCs w:val="18"/>
                      <w:lang w:val="cs-CZ"/>
                    </w:rPr>
                    <w:t>začátek</w:t>
                  </w:r>
                  <w:r w:rsidRPr="00CE1E2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CE1E2E">
                    <w:rPr>
                      <w:sz w:val="18"/>
                      <w:szCs w:val="18"/>
                      <w:lang w:val="cs-CZ"/>
                    </w:rPr>
                    <w:t>zatížení</w:t>
                  </w:r>
                </w:p>
                <w:p w:rsidR="00170614" w:rsidRPr="00CE1E2E" w:rsidRDefault="00170614" w:rsidP="00CE1E2E">
                  <w:pPr>
                    <w:pStyle w:val="Bezmez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proudem</w:t>
                  </w:r>
                </w:p>
                <w:p w:rsidR="00170614" w:rsidRPr="00CE1E2E" w:rsidRDefault="00170614" w:rsidP="00CE1E2E">
                  <w:pPr>
                    <w:pStyle w:val="Bezmezer"/>
                  </w:pPr>
                </w:p>
              </w:txbxContent>
            </v:textbox>
          </v:shape>
        </w:pict>
      </w:r>
      <w:r>
        <w:rPr>
          <w:noProof/>
          <w:sz w:val="18"/>
          <w:szCs w:val="18"/>
          <w:lang w:val="cs-CZ" w:eastAsia="cs-CZ" w:bidi="ar-SA"/>
        </w:rPr>
        <w:pict>
          <v:shape id="_x0000_s1053" type="#_x0000_t32" style="position:absolute;margin-left:320.45pt;margin-top:33.9pt;width:0;height:165.75pt;flip:y;z-index:251682816" o:connectortype="straight" strokecolor="#0dff7a" strokeweight="1.5pt"/>
        </w:pict>
      </w:r>
      <w:r>
        <w:rPr>
          <w:noProof/>
          <w:sz w:val="18"/>
          <w:szCs w:val="18"/>
          <w:lang w:val="cs-CZ" w:eastAsia="cs-CZ" w:bidi="ar-SA"/>
        </w:rPr>
        <w:pict>
          <v:shape id="_x0000_s1052" type="#_x0000_t32" style="position:absolute;margin-left:346.7pt;margin-top:33.9pt;width:.75pt;height:165.75pt;flip:y;z-index:251681792" o:connectortype="straight"/>
        </w:pict>
      </w:r>
      <w:r>
        <w:rPr>
          <w:noProof/>
          <w:sz w:val="18"/>
          <w:szCs w:val="18"/>
          <w:lang w:val="cs-CZ" w:eastAsia="cs-CZ" w:bidi="ar-SA"/>
        </w:rPr>
        <w:pict>
          <v:shape id="_x0000_s1051" type="#_x0000_t32" style="position:absolute;margin-left:292.7pt;margin-top:33.9pt;width:.75pt;height:165.75pt;flip:x y;z-index:251680768" o:connectortype="straight"/>
        </w:pict>
      </w:r>
      <w:r>
        <w:rPr>
          <w:noProof/>
          <w:sz w:val="18"/>
          <w:szCs w:val="18"/>
          <w:lang w:val="cs-CZ" w:eastAsia="cs-CZ" w:bidi="ar-SA"/>
        </w:rPr>
        <w:pict>
          <v:shape id="_x0000_s1050" type="#_x0000_t32" style="position:absolute;margin-left:2.45pt;margin-top:282.9pt;width:522.75pt;height:.75pt;z-index:251679744" o:connectortype="straight" strokeweight=".5pt"/>
        </w:pict>
      </w:r>
      <w:r w:rsidR="00BF6772" w:rsidRPr="00BF6772">
        <w:rPr>
          <w:noProof/>
          <w:sz w:val="18"/>
          <w:szCs w:val="18"/>
          <w:lang w:val="cs-CZ" w:eastAsia="cs-CZ" w:bidi="ar-SA"/>
        </w:rPr>
        <w:drawing>
          <wp:inline distT="0" distB="0" distL="0" distR="0">
            <wp:extent cx="6619875" cy="3609975"/>
            <wp:effectExtent l="19050" t="0" r="9525" b="0"/>
            <wp:docPr id="2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F0FDD" w:rsidRPr="00495FA0" w:rsidRDefault="003F0FDD" w:rsidP="00495FA0">
      <w:pPr>
        <w:pStyle w:val="Bezmezer"/>
        <w:rPr>
          <w:sz w:val="20"/>
          <w:szCs w:val="20"/>
          <w:lang w:val="cs-CZ"/>
        </w:rPr>
      </w:pPr>
    </w:p>
    <w:p w:rsidR="00905B97" w:rsidRDefault="00495FA0" w:rsidP="00325556">
      <w:pPr>
        <w:pStyle w:val="Bezmezer"/>
        <w:rPr>
          <w:b/>
          <w:sz w:val="20"/>
          <w:szCs w:val="20"/>
          <w:lang w:val="cs-CZ"/>
        </w:rPr>
      </w:pPr>
      <w:r w:rsidRPr="00495FA0">
        <w:rPr>
          <w:sz w:val="20"/>
          <w:szCs w:val="20"/>
          <w:lang w:val="cs-CZ"/>
        </w:rPr>
        <w:t xml:space="preserve">    Vypočtená hodnota vnitřního odporu a Céčka je velmi závislá na době, kdy dojde k odečtu napětí po připojení zát</w:t>
      </w:r>
      <w:r w:rsidRPr="00495FA0">
        <w:rPr>
          <w:sz w:val="20"/>
          <w:szCs w:val="20"/>
          <w:lang w:val="cs-CZ"/>
        </w:rPr>
        <w:t>ě</w:t>
      </w:r>
      <w:r w:rsidRPr="00495FA0">
        <w:rPr>
          <w:sz w:val="20"/>
          <w:szCs w:val="20"/>
          <w:lang w:val="cs-CZ"/>
        </w:rPr>
        <w:t>že. Např. naměřená hodnota napětí v čase 1,349 s je 11,1</w:t>
      </w:r>
      <w:r w:rsidR="00905B97">
        <w:rPr>
          <w:sz w:val="20"/>
          <w:szCs w:val="20"/>
          <w:lang w:val="cs-CZ"/>
        </w:rPr>
        <w:t>6</w:t>
      </w:r>
      <w:r w:rsidRPr="00495FA0">
        <w:rPr>
          <w:sz w:val="20"/>
          <w:szCs w:val="20"/>
          <w:lang w:val="cs-CZ"/>
        </w:rPr>
        <w:t>9 V a tomu odpovídá</w:t>
      </w:r>
      <w:r>
        <w:rPr>
          <w:sz w:val="20"/>
          <w:szCs w:val="20"/>
          <w:lang w:val="cs-CZ"/>
        </w:rPr>
        <w:t xml:space="preserve"> </w:t>
      </w:r>
      <w:r w:rsidRPr="00495FA0">
        <w:rPr>
          <w:sz w:val="20"/>
          <w:szCs w:val="20"/>
          <w:lang w:val="cs-CZ"/>
        </w:rPr>
        <w:t>Ri = 17,7 mΩ a Céčko 24,1. O po</w:t>
      </w:r>
      <w:r w:rsidRPr="00495FA0">
        <w:rPr>
          <w:sz w:val="20"/>
          <w:szCs w:val="20"/>
          <w:lang w:val="cs-CZ"/>
        </w:rPr>
        <w:t>u</w:t>
      </w:r>
      <w:r w:rsidRPr="00495FA0">
        <w:rPr>
          <w:sz w:val="20"/>
          <w:szCs w:val="20"/>
          <w:lang w:val="cs-CZ"/>
        </w:rPr>
        <w:t>hých 0,05</w:t>
      </w:r>
      <w:r w:rsidR="00016A33">
        <w:rPr>
          <w:sz w:val="20"/>
          <w:szCs w:val="20"/>
          <w:lang w:val="cs-CZ"/>
        </w:rPr>
        <w:t xml:space="preserve"> </w:t>
      </w:r>
      <w:r w:rsidRPr="00495FA0">
        <w:rPr>
          <w:sz w:val="20"/>
          <w:szCs w:val="20"/>
          <w:lang w:val="cs-CZ"/>
        </w:rPr>
        <w:t>s</w:t>
      </w:r>
      <w:r w:rsidR="00016A33">
        <w:rPr>
          <w:sz w:val="20"/>
          <w:szCs w:val="20"/>
          <w:lang w:val="cs-CZ"/>
        </w:rPr>
        <w:t>ekundy</w:t>
      </w:r>
      <w:r w:rsidRPr="00495FA0">
        <w:rPr>
          <w:sz w:val="20"/>
          <w:szCs w:val="20"/>
          <w:lang w:val="cs-CZ"/>
        </w:rPr>
        <w:t xml:space="preserve"> je už Ri = 18,3 mΩ a Céčko 23,3. Rozdíl je </w:t>
      </w:r>
      <w:r w:rsidRPr="00325556">
        <w:rPr>
          <w:b/>
          <w:sz w:val="20"/>
          <w:szCs w:val="20"/>
          <w:lang w:val="cs-CZ"/>
        </w:rPr>
        <w:t>3,4 % !</w:t>
      </w:r>
    </w:p>
    <w:p w:rsidR="00B20E0E" w:rsidRDefault="00B20E0E" w:rsidP="00325556">
      <w:pPr>
        <w:pStyle w:val="Bezmezer"/>
        <w:rPr>
          <w:b/>
          <w:sz w:val="20"/>
          <w:szCs w:val="20"/>
          <w:lang w:val="cs-CZ"/>
        </w:rPr>
      </w:pPr>
    </w:p>
    <w:p w:rsidR="00B20E0E" w:rsidRDefault="00B20E0E" w:rsidP="00325556">
      <w:pPr>
        <w:pStyle w:val="Bezmezer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4/ Závislost vnitřního odporu aku na zatěžovacím proudu</w:t>
      </w:r>
    </w:p>
    <w:p w:rsidR="00B20E0E" w:rsidRDefault="00B20E0E" w:rsidP="00325556">
      <w:pPr>
        <w:pStyle w:val="Bezmezer"/>
        <w:rPr>
          <w:b/>
          <w:sz w:val="20"/>
          <w:szCs w:val="20"/>
          <w:lang w:val="cs-CZ"/>
        </w:rPr>
      </w:pPr>
    </w:p>
    <w:p w:rsidR="00067D93" w:rsidRDefault="005A76F6" w:rsidP="00325556">
      <w:pPr>
        <w:pStyle w:val="Bezmezer"/>
        <w:rPr>
          <w:sz w:val="20"/>
          <w:szCs w:val="20"/>
          <w:lang w:val="cs-CZ"/>
        </w:rPr>
      </w:pPr>
      <w:r w:rsidRPr="005A76F6">
        <w:rPr>
          <w:sz w:val="20"/>
          <w:szCs w:val="20"/>
          <w:lang w:val="cs-CZ"/>
        </w:rPr>
        <w:t xml:space="preserve">     Na modelářském trhu je několik</w:t>
      </w:r>
      <w:r>
        <w:rPr>
          <w:sz w:val="20"/>
          <w:szCs w:val="20"/>
          <w:lang w:val="cs-CZ"/>
        </w:rPr>
        <w:t xml:space="preserve"> </w:t>
      </w:r>
      <w:r w:rsidR="00884FF5">
        <w:rPr>
          <w:sz w:val="20"/>
          <w:szCs w:val="20"/>
          <w:lang w:val="cs-CZ"/>
        </w:rPr>
        <w:t>typů měřidel vnitřního odporu, ale u žádného, který jsem poznal</w:t>
      </w:r>
      <w:r w:rsidR="00067D93">
        <w:rPr>
          <w:sz w:val="20"/>
          <w:szCs w:val="20"/>
          <w:lang w:val="cs-CZ"/>
        </w:rPr>
        <w:t>,</w:t>
      </w:r>
      <w:r w:rsidR="00884FF5">
        <w:rPr>
          <w:sz w:val="20"/>
          <w:szCs w:val="20"/>
          <w:lang w:val="cs-CZ"/>
        </w:rPr>
        <w:t xml:space="preserve"> jsem nezjistil jak velký je zatěžovací proud aku. Dne 13. května 2019 bylo rozhodnuto, že zjistím, jaký vliv na měřený Ri má velikost zatěžovacího proudu. Určitě bychom to někde v literatuře našli, ale </w:t>
      </w:r>
      <w:r w:rsidR="00067D93">
        <w:rPr>
          <w:sz w:val="20"/>
          <w:szCs w:val="20"/>
          <w:lang w:val="cs-CZ"/>
        </w:rPr>
        <w:t>nechtělo se mi hledat. Vlastní zkušenost se také lépe pamatuje.</w:t>
      </w:r>
    </w:p>
    <w:p w:rsidR="00D40655" w:rsidRDefault="00067D93" w:rsidP="00325556">
      <w:pPr>
        <w:pStyle w:val="Bezmez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Postupoval jsem podobně jako u statistického zjištění opakovatelnosti měření v odst. 2, tedy při napětí aku cca 3,8 V/čl. Na jednotlivých hodnotách zatěžovacího proudu byl vypočten Ri aku, </w:t>
      </w:r>
      <w:r w:rsidR="00023F57">
        <w:rPr>
          <w:sz w:val="20"/>
          <w:szCs w:val="20"/>
          <w:lang w:val="cs-CZ"/>
        </w:rPr>
        <w:t xml:space="preserve">Ri </w:t>
      </w:r>
      <w:r>
        <w:rPr>
          <w:sz w:val="20"/>
          <w:szCs w:val="20"/>
          <w:lang w:val="cs-CZ"/>
        </w:rPr>
        <w:t>jednotlivých článků, Céčka a maximá</w:t>
      </w:r>
      <w:r w:rsidR="00D40655">
        <w:rPr>
          <w:sz w:val="20"/>
          <w:szCs w:val="20"/>
          <w:lang w:val="cs-CZ"/>
        </w:rPr>
        <w:t>lní</w:t>
      </w:r>
    </w:p>
    <w:p w:rsidR="005A76F6" w:rsidRPr="005A76F6" w:rsidRDefault="00067D93" w:rsidP="00325556">
      <w:pPr>
        <w:pStyle w:val="Bezmez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zatěžovací </w:t>
      </w:r>
      <w:proofErr w:type="gramStart"/>
      <w:r>
        <w:rPr>
          <w:sz w:val="20"/>
          <w:szCs w:val="20"/>
          <w:lang w:val="cs-CZ"/>
        </w:rPr>
        <w:t>proud</w:t>
      </w:r>
      <w:r w:rsidR="00D40655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 (pro</w:t>
      </w:r>
      <w:proofErr w:type="gramEnd"/>
      <w:r>
        <w:rPr>
          <w:sz w:val="20"/>
          <w:szCs w:val="20"/>
          <w:lang w:val="cs-CZ"/>
        </w:rPr>
        <w:t xml:space="preserve"> pokles napětí o 10 %). </w:t>
      </w:r>
      <w:r w:rsidR="00023F57">
        <w:rPr>
          <w:sz w:val="20"/>
          <w:szCs w:val="20"/>
          <w:lang w:val="cs-CZ"/>
        </w:rPr>
        <w:t>Naměřené a vypočtené hodnoty jsou uvedeny v grafu.</w:t>
      </w:r>
      <w:r w:rsidR="00884FF5">
        <w:rPr>
          <w:sz w:val="20"/>
          <w:szCs w:val="20"/>
          <w:lang w:val="cs-CZ"/>
        </w:rPr>
        <w:t xml:space="preserve">  </w:t>
      </w:r>
    </w:p>
    <w:p w:rsidR="00B86A4E" w:rsidRDefault="00B20E0E" w:rsidP="00325556">
      <w:pPr>
        <w:pStyle w:val="Bezmezer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    </w:t>
      </w:r>
    </w:p>
    <w:tbl>
      <w:tblPr>
        <w:tblW w:w="1047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551"/>
        <w:gridCol w:w="991"/>
        <w:gridCol w:w="991"/>
        <w:gridCol w:w="991"/>
        <w:gridCol w:w="991"/>
        <w:gridCol w:w="991"/>
        <w:gridCol w:w="991"/>
        <w:gridCol w:w="991"/>
        <w:gridCol w:w="991"/>
        <w:gridCol w:w="991"/>
      </w:tblGrid>
      <w:tr w:rsidR="003A2E3C" w:rsidRPr="00B86A4E" w:rsidTr="003A2E3C">
        <w:trPr>
          <w:trHeight w:val="390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3A2E3C" w:rsidP="003A2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z</w:t>
            </w:r>
            <w:r w:rsidR="00B86A4E"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atěž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 xml:space="preserve">ovací </w:t>
            </w:r>
            <w:r w:rsidR="00B86A4E"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proud [A]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B8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0,935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B8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2,613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B8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5,107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B8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6,076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B8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9,941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B8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11,212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B8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12,826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B8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14,493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3A2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17,299</w:t>
            </w:r>
          </w:p>
        </w:tc>
      </w:tr>
      <w:tr w:rsidR="003A2E3C" w:rsidRPr="00B86A4E" w:rsidTr="003A2E3C">
        <w:trPr>
          <w:trHeight w:val="325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B8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Ri [m</w:t>
            </w:r>
            <w:r w:rsidRPr="00B8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 w:bidi="ar-SA"/>
              </w:rPr>
              <w:t>Ω]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3A2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19,3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B8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19,1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B8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18,6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B8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18,4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B8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19,1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B8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18,8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B8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18,9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B8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18,5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3A2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18,8</w:t>
            </w:r>
          </w:p>
        </w:tc>
      </w:tr>
      <w:tr w:rsidR="00B86A4E" w:rsidRPr="00B86A4E" w:rsidTr="003A2E3C">
        <w:trPr>
          <w:trHeight w:val="325"/>
        </w:trPr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B8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Ri 1.čl.  [mΩ]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3A2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7,5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B8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6,9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B8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6,1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B8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6,3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B8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6,3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B8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6,4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B8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6,5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B8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6,3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3A2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6,0</w:t>
            </w:r>
          </w:p>
        </w:tc>
      </w:tr>
      <w:tr w:rsidR="00B86A4E" w:rsidRPr="00B86A4E" w:rsidTr="003A2E3C">
        <w:trPr>
          <w:trHeight w:val="325"/>
        </w:trPr>
        <w:tc>
          <w:tcPr>
            <w:tcW w:w="15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B8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Ri 2.čl.  [mΩ]</w:t>
            </w: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3A2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5,4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B8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6,1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B8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6,3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B8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6,3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B8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6,3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B8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5,9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B8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6,1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B8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6,1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3A2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6,0</w:t>
            </w:r>
          </w:p>
        </w:tc>
      </w:tr>
      <w:tr w:rsidR="003A2E3C" w:rsidRPr="00B86A4E" w:rsidTr="003A2E3C">
        <w:trPr>
          <w:trHeight w:val="325"/>
        </w:trPr>
        <w:tc>
          <w:tcPr>
            <w:tcW w:w="15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B8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Ri 3.čl.  [mΩ]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3A2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6,4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B8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6,1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B8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6,3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B8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5,9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B8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6,2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B8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6,5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B8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6,3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B8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6,1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3A2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6,5</w:t>
            </w:r>
          </w:p>
        </w:tc>
      </w:tr>
      <w:tr w:rsidR="003A2E3C" w:rsidRPr="00B86A4E" w:rsidTr="003A2E3C">
        <w:trPr>
          <w:trHeight w:val="325"/>
        </w:trPr>
        <w:tc>
          <w:tcPr>
            <w:tcW w:w="15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3A2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 xml:space="preserve">Céčko </w:t>
            </w:r>
            <w:r w:rsidRPr="00B8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 w:bidi="ar-SA"/>
              </w:rPr>
              <w:t>[-]</w:t>
            </w: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3A2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22,1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3A2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22,3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3A2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22,9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3A2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23,2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3A2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22,3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3A2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22,7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3A2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22,6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3A2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23,1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3A2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22,7</w:t>
            </w:r>
          </w:p>
        </w:tc>
      </w:tr>
      <w:tr w:rsidR="003A2E3C" w:rsidRPr="00B86A4E" w:rsidTr="003A2E3C">
        <w:trPr>
          <w:trHeight w:val="341"/>
        </w:trPr>
        <w:tc>
          <w:tcPr>
            <w:tcW w:w="1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3A2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 xml:space="preserve">Imax. </w:t>
            </w:r>
            <w:r w:rsidRPr="00B8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 w:bidi="ar-SA"/>
              </w:rPr>
              <w:t>[A]</w:t>
            </w: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3A2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57,5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3A2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58,0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3A2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59,6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3A2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60,2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3A2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58,1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3A2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59,0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3A2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58,8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3A2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60,0</w:t>
            </w:r>
          </w:p>
        </w:tc>
        <w:tc>
          <w:tcPr>
            <w:tcW w:w="991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6A4E" w:rsidRPr="00B86A4E" w:rsidRDefault="00B86A4E" w:rsidP="003A2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B8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58,9</w:t>
            </w:r>
          </w:p>
        </w:tc>
      </w:tr>
    </w:tbl>
    <w:p w:rsidR="00B20E0E" w:rsidRDefault="00B20E0E" w:rsidP="00325556">
      <w:pPr>
        <w:pStyle w:val="Bezmezer"/>
        <w:rPr>
          <w:sz w:val="20"/>
          <w:szCs w:val="20"/>
          <w:lang w:val="cs-CZ"/>
        </w:rPr>
      </w:pPr>
    </w:p>
    <w:p w:rsidR="00B86A4E" w:rsidRDefault="003A2E3C" w:rsidP="00325556">
      <w:pPr>
        <w:pStyle w:val="Bezmezer"/>
        <w:rPr>
          <w:sz w:val="20"/>
          <w:szCs w:val="20"/>
          <w:lang w:val="cs-CZ"/>
        </w:rPr>
      </w:pPr>
      <w:r w:rsidRPr="003A2E3C">
        <w:rPr>
          <w:noProof/>
          <w:sz w:val="20"/>
          <w:szCs w:val="20"/>
          <w:lang w:val="cs-CZ" w:eastAsia="cs-CZ" w:bidi="ar-SA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619875" cy="3192145"/>
            <wp:effectExtent l="19050" t="0" r="9525" b="8255"/>
            <wp:wrapSquare wrapText="bothSides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sz w:val="20"/>
          <w:szCs w:val="20"/>
          <w:lang w:val="cs-CZ"/>
        </w:rPr>
        <w:br w:type="textWrapping" w:clear="all"/>
      </w:r>
      <w:r w:rsidR="00023F57">
        <w:rPr>
          <w:sz w:val="20"/>
          <w:szCs w:val="20"/>
          <w:lang w:val="cs-CZ"/>
        </w:rPr>
        <w:t xml:space="preserve">     Z naměřených a vypočtených hodnot vyplývá, že velikost zatěžovacího proudu </w:t>
      </w:r>
      <w:r w:rsidR="00D40655">
        <w:rPr>
          <w:sz w:val="20"/>
          <w:szCs w:val="20"/>
          <w:lang w:val="cs-CZ"/>
        </w:rPr>
        <w:t>(při stejné hodnotě napětí aku n</w:t>
      </w:r>
      <w:r w:rsidR="00D40655">
        <w:rPr>
          <w:sz w:val="20"/>
          <w:szCs w:val="20"/>
          <w:lang w:val="cs-CZ"/>
        </w:rPr>
        <w:t>a</w:t>
      </w:r>
      <w:r w:rsidR="00D40655">
        <w:rPr>
          <w:sz w:val="20"/>
          <w:szCs w:val="20"/>
          <w:lang w:val="cs-CZ"/>
        </w:rPr>
        <w:t xml:space="preserve">prázdno) </w:t>
      </w:r>
      <w:r w:rsidR="00023F57">
        <w:rPr>
          <w:sz w:val="20"/>
          <w:szCs w:val="20"/>
          <w:lang w:val="cs-CZ"/>
        </w:rPr>
        <w:t>na zjištění Ri aku nemá žádný vliv.</w:t>
      </w:r>
    </w:p>
    <w:p w:rsidR="00023F57" w:rsidRDefault="00023F57" w:rsidP="00325556">
      <w:pPr>
        <w:pStyle w:val="Bezmez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V grafu jsou měřené a vypočtené hodnoty </w:t>
      </w:r>
      <w:r w:rsidR="00D40655">
        <w:rPr>
          <w:sz w:val="20"/>
          <w:szCs w:val="20"/>
          <w:lang w:val="cs-CZ"/>
        </w:rPr>
        <w:t>„vyhlazeny“ (</w:t>
      </w:r>
      <w:r>
        <w:rPr>
          <w:sz w:val="20"/>
          <w:szCs w:val="20"/>
          <w:lang w:val="cs-CZ"/>
        </w:rPr>
        <w:t>linearizovány</w:t>
      </w:r>
      <w:r w:rsidR="00D40655">
        <w:rPr>
          <w:sz w:val="20"/>
          <w:szCs w:val="20"/>
          <w:lang w:val="cs-CZ"/>
        </w:rPr>
        <w:t>)</w:t>
      </w:r>
      <w:r>
        <w:rPr>
          <w:sz w:val="20"/>
          <w:szCs w:val="20"/>
          <w:lang w:val="cs-CZ"/>
        </w:rPr>
        <w:t>.</w:t>
      </w:r>
      <w:r w:rsidR="00D40655">
        <w:rPr>
          <w:sz w:val="20"/>
          <w:szCs w:val="20"/>
          <w:lang w:val="cs-CZ"/>
        </w:rPr>
        <w:t xml:space="preserve"> </w:t>
      </w:r>
    </w:p>
    <w:p w:rsidR="00B20E0E" w:rsidRPr="00B20E0E" w:rsidRDefault="00B20E0E" w:rsidP="00325556">
      <w:pPr>
        <w:pStyle w:val="Bezmez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</w:t>
      </w:r>
    </w:p>
    <w:p w:rsidR="00325556" w:rsidRPr="00325556" w:rsidRDefault="00325556" w:rsidP="00325556">
      <w:pPr>
        <w:pStyle w:val="Bezmezer"/>
        <w:rPr>
          <w:b/>
          <w:sz w:val="20"/>
          <w:szCs w:val="20"/>
          <w:lang w:val="cs-CZ"/>
        </w:rPr>
      </w:pPr>
      <w:r w:rsidRPr="00325556">
        <w:rPr>
          <w:b/>
          <w:sz w:val="20"/>
          <w:szCs w:val="20"/>
          <w:lang w:val="cs-CZ"/>
        </w:rPr>
        <w:t xml:space="preserve">    Výsledek měření</w:t>
      </w:r>
    </w:p>
    <w:p w:rsidR="00325556" w:rsidRDefault="00325556" w:rsidP="00325556">
      <w:pPr>
        <w:pStyle w:val="Bezmezer"/>
        <w:rPr>
          <w:b/>
          <w:sz w:val="20"/>
          <w:szCs w:val="20"/>
          <w:u w:val="single"/>
          <w:lang w:val="cs-CZ"/>
        </w:rPr>
      </w:pPr>
    </w:p>
    <w:p w:rsidR="00023F57" w:rsidRDefault="00325556" w:rsidP="00325556">
      <w:pPr>
        <w:pStyle w:val="Bezmezer"/>
        <w:rPr>
          <w:sz w:val="20"/>
          <w:szCs w:val="20"/>
          <w:lang w:val="cs-CZ"/>
        </w:rPr>
      </w:pPr>
      <w:r w:rsidRPr="00325556">
        <w:rPr>
          <w:sz w:val="20"/>
          <w:szCs w:val="20"/>
          <w:lang w:val="cs-CZ"/>
        </w:rPr>
        <w:t xml:space="preserve">    Potvrdilo se očekávané </w:t>
      </w:r>
      <w:r w:rsidR="00827CA6">
        <w:rPr>
          <w:sz w:val="20"/>
          <w:szCs w:val="20"/>
          <w:lang w:val="cs-CZ"/>
        </w:rPr>
        <w:t>–</w:t>
      </w:r>
      <w:r w:rsidRPr="00325556">
        <w:rPr>
          <w:sz w:val="20"/>
          <w:szCs w:val="20"/>
          <w:lang w:val="cs-CZ"/>
        </w:rPr>
        <w:t xml:space="preserve"> </w:t>
      </w:r>
      <w:r w:rsidR="00827CA6">
        <w:rPr>
          <w:b/>
          <w:sz w:val="20"/>
          <w:szCs w:val="20"/>
          <w:lang w:val="cs-CZ"/>
        </w:rPr>
        <w:t>s</w:t>
      </w:r>
      <w:r w:rsidR="00827CA6">
        <w:rPr>
          <w:sz w:val="20"/>
          <w:szCs w:val="20"/>
          <w:lang w:val="cs-CZ"/>
        </w:rPr>
        <w:t xml:space="preserve"> </w:t>
      </w:r>
      <w:r w:rsidR="00827CA6" w:rsidRPr="00827CA6">
        <w:rPr>
          <w:b/>
          <w:sz w:val="20"/>
          <w:szCs w:val="20"/>
          <w:lang w:val="cs-CZ"/>
        </w:rPr>
        <w:t>klesajícím napětím aku stoupá Ri a naopak klesá Céčko</w:t>
      </w:r>
      <w:r w:rsidRPr="00325556">
        <w:rPr>
          <w:sz w:val="20"/>
          <w:szCs w:val="20"/>
          <w:lang w:val="cs-CZ"/>
        </w:rPr>
        <w:t>. Z měření opakovatelnosti (odst.3) je zřejmé, že každé měření i za stejných podmínek bude</w:t>
      </w:r>
      <w:r>
        <w:rPr>
          <w:sz w:val="20"/>
          <w:szCs w:val="20"/>
          <w:lang w:val="cs-CZ"/>
        </w:rPr>
        <w:t xml:space="preserve"> </w:t>
      </w:r>
      <w:r w:rsidRPr="00325556">
        <w:rPr>
          <w:sz w:val="20"/>
          <w:szCs w:val="20"/>
          <w:lang w:val="cs-CZ"/>
        </w:rPr>
        <w:t xml:space="preserve">vykazovat odlišné výsledky Ri a Céčka. </w:t>
      </w:r>
      <w:r w:rsidR="00AE62EE">
        <w:rPr>
          <w:sz w:val="20"/>
          <w:szCs w:val="20"/>
          <w:lang w:val="cs-CZ"/>
        </w:rPr>
        <w:t>Je to vlas</w:t>
      </w:r>
      <w:r w:rsidR="00AE62EE">
        <w:rPr>
          <w:sz w:val="20"/>
          <w:szCs w:val="20"/>
          <w:lang w:val="cs-CZ"/>
        </w:rPr>
        <w:t>t</w:t>
      </w:r>
      <w:r w:rsidR="00AE62EE">
        <w:rPr>
          <w:sz w:val="20"/>
          <w:szCs w:val="20"/>
          <w:lang w:val="cs-CZ"/>
        </w:rPr>
        <w:t>nost elektrochemického zdroje?</w:t>
      </w:r>
    </w:p>
    <w:p w:rsidR="00023F57" w:rsidRDefault="00023F57" w:rsidP="00325556">
      <w:pPr>
        <w:pStyle w:val="Bezmez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</w:t>
      </w:r>
      <w:r w:rsidR="008D6428">
        <w:rPr>
          <w:sz w:val="20"/>
          <w:szCs w:val="20"/>
          <w:lang w:val="cs-CZ"/>
        </w:rPr>
        <w:t xml:space="preserve">Vnitřní odpor aku (při shodném napětí naprázdno) </w:t>
      </w:r>
      <w:r w:rsidR="008D6428" w:rsidRPr="008D6428">
        <w:rPr>
          <w:b/>
          <w:sz w:val="20"/>
          <w:szCs w:val="20"/>
          <w:lang w:val="cs-CZ"/>
        </w:rPr>
        <w:t>není závislý na zatěžovacím proudu</w:t>
      </w:r>
      <w:r w:rsidR="008D6428">
        <w:rPr>
          <w:sz w:val="20"/>
          <w:szCs w:val="20"/>
          <w:lang w:val="cs-CZ"/>
        </w:rPr>
        <w:t>.</w:t>
      </w:r>
    </w:p>
    <w:p w:rsidR="00023F57" w:rsidRDefault="00023F57" w:rsidP="00325556">
      <w:pPr>
        <w:pStyle w:val="Bezmezer"/>
        <w:rPr>
          <w:sz w:val="20"/>
          <w:szCs w:val="20"/>
          <w:lang w:val="cs-CZ"/>
        </w:rPr>
      </w:pPr>
    </w:p>
    <w:p w:rsidR="00325556" w:rsidRDefault="00AE62EE" w:rsidP="00325556">
      <w:pPr>
        <w:pStyle w:val="Bezmez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</w:t>
      </w:r>
      <w:r w:rsidR="00325556" w:rsidRPr="00325556">
        <w:rPr>
          <w:sz w:val="20"/>
          <w:szCs w:val="20"/>
          <w:lang w:val="cs-CZ"/>
        </w:rPr>
        <w:t>Zbývá podotknout, že naměřené hodnoty platí ve dnech měření,</w:t>
      </w:r>
      <w:r w:rsidR="00325556">
        <w:rPr>
          <w:sz w:val="20"/>
          <w:szCs w:val="20"/>
          <w:lang w:val="cs-CZ"/>
        </w:rPr>
        <w:t xml:space="preserve"> </w:t>
      </w:r>
      <w:r w:rsidR="00325556" w:rsidRPr="00325556">
        <w:rPr>
          <w:sz w:val="20"/>
          <w:szCs w:val="20"/>
          <w:lang w:val="cs-CZ"/>
        </w:rPr>
        <w:t xml:space="preserve">na místě a za uvedených podmínek.  </w:t>
      </w:r>
    </w:p>
    <w:p w:rsidR="00325556" w:rsidRDefault="00325556" w:rsidP="00325556">
      <w:pPr>
        <w:pStyle w:val="Bezmezer"/>
        <w:rPr>
          <w:sz w:val="20"/>
          <w:szCs w:val="20"/>
          <w:lang w:val="cs-CZ"/>
        </w:rPr>
      </w:pPr>
    </w:p>
    <w:p w:rsidR="00325556" w:rsidRDefault="00325556" w:rsidP="00325556">
      <w:pPr>
        <w:pStyle w:val="Bezmezer"/>
        <w:rPr>
          <w:sz w:val="20"/>
          <w:szCs w:val="20"/>
          <w:lang w:val="cs-CZ"/>
        </w:rPr>
      </w:pPr>
      <w:r w:rsidRPr="00325556">
        <w:rPr>
          <w:sz w:val="20"/>
          <w:szCs w:val="20"/>
          <w:lang w:val="cs-CZ"/>
        </w:rPr>
        <w:t>V Náchodě 25.10 2018</w:t>
      </w:r>
      <w:r w:rsidR="00023F57">
        <w:rPr>
          <w:sz w:val="20"/>
          <w:szCs w:val="20"/>
          <w:lang w:val="cs-CZ"/>
        </w:rPr>
        <w:t xml:space="preserve"> a </w:t>
      </w:r>
      <w:r w:rsidR="004C102D">
        <w:rPr>
          <w:sz w:val="20"/>
          <w:szCs w:val="20"/>
          <w:lang w:val="cs-CZ"/>
        </w:rPr>
        <w:t xml:space="preserve">doplněno </w:t>
      </w:r>
      <w:r w:rsidR="00023F57">
        <w:rPr>
          <w:sz w:val="20"/>
          <w:szCs w:val="20"/>
          <w:lang w:val="cs-CZ"/>
        </w:rPr>
        <w:t>13.5.2019</w:t>
      </w:r>
    </w:p>
    <w:p w:rsidR="00325556" w:rsidRDefault="00325556" w:rsidP="00325556">
      <w:pPr>
        <w:pStyle w:val="Bezmez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Bobr</w:t>
      </w:r>
    </w:p>
    <w:p w:rsidR="00016A33" w:rsidRDefault="00016A33" w:rsidP="00325556">
      <w:pPr>
        <w:pStyle w:val="Bezmezer"/>
        <w:rPr>
          <w:sz w:val="20"/>
          <w:szCs w:val="20"/>
          <w:lang w:val="cs-CZ"/>
        </w:rPr>
      </w:pPr>
    </w:p>
    <w:sectPr w:rsidR="00016A33" w:rsidSect="0094373B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hyphenationZone w:val="425"/>
  <w:characterSpacingControl w:val="doNotCompress"/>
  <w:compat/>
  <w:rsids>
    <w:rsidRoot w:val="006D4342"/>
    <w:rsid w:val="00000BEC"/>
    <w:rsid w:val="00016A33"/>
    <w:rsid w:val="00023F57"/>
    <w:rsid w:val="00047828"/>
    <w:rsid w:val="00067D93"/>
    <w:rsid w:val="000700DF"/>
    <w:rsid w:val="000C345C"/>
    <w:rsid w:val="000D0DA0"/>
    <w:rsid w:val="000D3A7B"/>
    <w:rsid w:val="00113641"/>
    <w:rsid w:val="00136067"/>
    <w:rsid w:val="00143D60"/>
    <w:rsid w:val="00157727"/>
    <w:rsid w:val="00170614"/>
    <w:rsid w:val="00196AAE"/>
    <w:rsid w:val="001A601E"/>
    <w:rsid w:val="001B7243"/>
    <w:rsid w:val="001C2AA2"/>
    <w:rsid w:val="001D7191"/>
    <w:rsid w:val="00226301"/>
    <w:rsid w:val="00267206"/>
    <w:rsid w:val="002A0D35"/>
    <w:rsid w:val="002E31C1"/>
    <w:rsid w:val="002E7D95"/>
    <w:rsid w:val="00306B03"/>
    <w:rsid w:val="00325556"/>
    <w:rsid w:val="00356557"/>
    <w:rsid w:val="003875D3"/>
    <w:rsid w:val="003A2E3C"/>
    <w:rsid w:val="003C3677"/>
    <w:rsid w:val="003F0FDD"/>
    <w:rsid w:val="003F2711"/>
    <w:rsid w:val="0040127B"/>
    <w:rsid w:val="00404777"/>
    <w:rsid w:val="004538B5"/>
    <w:rsid w:val="00495FA0"/>
    <w:rsid w:val="004A4F1A"/>
    <w:rsid w:val="004C102D"/>
    <w:rsid w:val="004F2709"/>
    <w:rsid w:val="004F68DD"/>
    <w:rsid w:val="00511448"/>
    <w:rsid w:val="00527C16"/>
    <w:rsid w:val="00534049"/>
    <w:rsid w:val="00537048"/>
    <w:rsid w:val="0053719C"/>
    <w:rsid w:val="005404EA"/>
    <w:rsid w:val="0054242D"/>
    <w:rsid w:val="005A76F6"/>
    <w:rsid w:val="005B507A"/>
    <w:rsid w:val="0067761F"/>
    <w:rsid w:val="00677A93"/>
    <w:rsid w:val="006955B0"/>
    <w:rsid w:val="006B3EDD"/>
    <w:rsid w:val="006B59EA"/>
    <w:rsid w:val="006C280E"/>
    <w:rsid w:val="006C3476"/>
    <w:rsid w:val="006D4342"/>
    <w:rsid w:val="006E1E7C"/>
    <w:rsid w:val="00736ECF"/>
    <w:rsid w:val="00746913"/>
    <w:rsid w:val="007542CD"/>
    <w:rsid w:val="007571B3"/>
    <w:rsid w:val="00765677"/>
    <w:rsid w:val="00772A70"/>
    <w:rsid w:val="00772F4E"/>
    <w:rsid w:val="00775BF4"/>
    <w:rsid w:val="007A4F6D"/>
    <w:rsid w:val="007C25AA"/>
    <w:rsid w:val="007E7927"/>
    <w:rsid w:val="00827CA6"/>
    <w:rsid w:val="00840A52"/>
    <w:rsid w:val="00846F8A"/>
    <w:rsid w:val="00884FF5"/>
    <w:rsid w:val="0089495C"/>
    <w:rsid w:val="008D6428"/>
    <w:rsid w:val="00905B97"/>
    <w:rsid w:val="00916022"/>
    <w:rsid w:val="0092334B"/>
    <w:rsid w:val="0093303D"/>
    <w:rsid w:val="0093579B"/>
    <w:rsid w:val="0094373B"/>
    <w:rsid w:val="00947A2C"/>
    <w:rsid w:val="00951A9F"/>
    <w:rsid w:val="00981680"/>
    <w:rsid w:val="009A1AF9"/>
    <w:rsid w:val="009E1178"/>
    <w:rsid w:val="009E310B"/>
    <w:rsid w:val="00A24E60"/>
    <w:rsid w:val="00A33A95"/>
    <w:rsid w:val="00A350D7"/>
    <w:rsid w:val="00A42ED6"/>
    <w:rsid w:val="00A60B9B"/>
    <w:rsid w:val="00A6693A"/>
    <w:rsid w:val="00A7192D"/>
    <w:rsid w:val="00AD1C56"/>
    <w:rsid w:val="00AE62EE"/>
    <w:rsid w:val="00B01CD5"/>
    <w:rsid w:val="00B160FC"/>
    <w:rsid w:val="00B20E0E"/>
    <w:rsid w:val="00B77E3E"/>
    <w:rsid w:val="00B86A4E"/>
    <w:rsid w:val="00B974A5"/>
    <w:rsid w:val="00BA6233"/>
    <w:rsid w:val="00BD5A0C"/>
    <w:rsid w:val="00BE6818"/>
    <w:rsid w:val="00BE6CE1"/>
    <w:rsid w:val="00BF495C"/>
    <w:rsid w:val="00BF65C8"/>
    <w:rsid w:val="00BF6772"/>
    <w:rsid w:val="00C3164B"/>
    <w:rsid w:val="00C83C46"/>
    <w:rsid w:val="00C843F8"/>
    <w:rsid w:val="00C904C6"/>
    <w:rsid w:val="00CA03B9"/>
    <w:rsid w:val="00CA5A94"/>
    <w:rsid w:val="00CD77A6"/>
    <w:rsid w:val="00CE1E2E"/>
    <w:rsid w:val="00D40655"/>
    <w:rsid w:val="00DA1579"/>
    <w:rsid w:val="00DF07F5"/>
    <w:rsid w:val="00DF3167"/>
    <w:rsid w:val="00DF6982"/>
    <w:rsid w:val="00E115B0"/>
    <w:rsid w:val="00E21140"/>
    <w:rsid w:val="00E24EE5"/>
    <w:rsid w:val="00E301C8"/>
    <w:rsid w:val="00E3320B"/>
    <w:rsid w:val="00E52C0A"/>
    <w:rsid w:val="00E550BC"/>
    <w:rsid w:val="00E718FA"/>
    <w:rsid w:val="00EA2665"/>
    <w:rsid w:val="00EA7390"/>
    <w:rsid w:val="00ED4FD0"/>
    <w:rsid w:val="00ED51D8"/>
    <w:rsid w:val="00EE2E11"/>
    <w:rsid w:val="00F47DBF"/>
    <w:rsid w:val="00F513F8"/>
    <w:rsid w:val="00F57C70"/>
    <w:rsid w:val="00FC720D"/>
    <w:rsid w:val="00FF37C5"/>
    <w:rsid w:val="00FF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9" type="connector" idref="#_x0000_s1050"/>
        <o:r id="V:Rule10" type="connector" idref="#_x0000_s1059"/>
        <o:r id="V:Rule11" type="connector" idref="#_x0000_s1052"/>
        <o:r id="V:Rule12" type="connector" idref="#_x0000_s1051"/>
        <o:r id="V:Rule13" type="connector" idref="#_x0000_s1053"/>
        <o:r id="V:Rule14" type="connector" idref="#_x0000_s1049"/>
        <o:r id="V:Rule15" type="connector" idref="#_x0000_s1058"/>
        <o:r id="V:Rule16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5B0"/>
    <w:pPr>
      <w:jc w:val="right"/>
    </w:pPr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47A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47A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47A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47A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47A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7A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7A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7A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27CA3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7A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7A2C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47A2C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47A2C"/>
    <w:rPr>
      <w:rFonts w:asciiTheme="majorHAnsi" w:eastAsiaTheme="majorEastAsia" w:hAnsiTheme="majorHAnsi" w:cstheme="majorBidi"/>
      <w:b/>
      <w:bCs/>
      <w:color w:val="727CA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947A2C"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947A2C"/>
    <w:rPr>
      <w:rFonts w:asciiTheme="majorHAnsi" w:eastAsiaTheme="majorEastAsia" w:hAnsiTheme="majorHAnsi" w:cstheme="majorBidi"/>
      <w:color w:val="363C53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947A2C"/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947A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947A2C"/>
    <w:rPr>
      <w:rFonts w:asciiTheme="majorHAnsi" w:eastAsiaTheme="majorEastAsia" w:hAnsiTheme="majorHAnsi" w:cstheme="majorBidi"/>
      <w:color w:val="727CA3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47A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7A2C"/>
    <w:pPr>
      <w:spacing w:line="240" w:lineRule="auto"/>
    </w:pPr>
    <w:rPr>
      <w:b/>
      <w:bCs/>
      <w:color w:val="727CA3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47A2C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47A2C"/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47A2C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47A2C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947A2C"/>
    <w:rPr>
      <w:b/>
      <w:bCs/>
    </w:rPr>
  </w:style>
  <w:style w:type="character" w:styleId="Zvraznn">
    <w:name w:val="Emphasis"/>
    <w:basedOn w:val="Standardnpsmoodstavce"/>
    <w:uiPriority w:val="20"/>
    <w:qFormat/>
    <w:rsid w:val="00947A2C"/>
    <w:rPr>
      <w:i/>
      <w:iCs/>
    </w:rPr>
  </w:style>
  <w:style w:type="paragraph" w:styleId="Bezmezer">
    <w:name w:val="No Spacing"/>
    <w:link w:val="BezmezerChar"/>
    <w:uiPriority w:val="1"/>
    <w:qFormat/>
    <w:rsid w:val="00947A2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47A2C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947A2C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947A2C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47A2C"/>
    <w:pPr>
      <w:pBdr>
        <w:bottom w:val="single" w:sz="4" w:space="4" w:color="727CA3" w:themeColor="accent1"/>
      </w:pBdr>
      <w:spacing w:before="200" w:after="280"/>
      <w:ind w:left="936" w:right="936"/>
    </w:pPr>
    <w:rPr>
      <w:b/>
      <w:bCs/>
      <w:i/>
      <w:iCs/>
      <w:color w:val="727CA3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47A2C"/>
    <w:rPr>
      <w:b/>
      <w:bCs/>
      <w:i/>
      <w:iCs/>
      <w:color w:val="727CA3" w:themeColor="accent1"/>
    </w:rPr>
  </w:style>
  <w:style w:type="character" w:styleId="Zdraznnjemn">
    <w:name w:val="Subtle Emphasis"/>
    <w:basedOn w:val="Standardnpsmoodstavce"/>
    <w:uiPriority w:val="19"/>
    <w:qFormat/>
    <w:rsid w:val="00947A2C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947A2C"/>
    <w:rPr>
      <w:b/>
      <w:bCs/>
      <w:i/>
      <w:iCs/>
      <w:color w:val="727CA3" w:themeColor="accent1"/>
    </w:rPr>
  </w:style>
  <w:style w:type="character" w:styleId="Odkazjemn">
    <w:name w:val="Subtle Reference"/>
    <w:basedOn w:val="Standardnpsmoodstavce"/>
    <w:uiPriority w:val="31"/>
    <w:qFormat/>
    <w:rsid w:val="00947A2C"/>
    <w:rPr>
      <w:smallCaps/>
      <w:color w:val="9FB8C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947A2C"/>
    <w:rPr>
      <w:b/>
      <w:bCs/>
      <w:smallCaps/>
      <w:color w:val="9FB8C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947A2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7A2C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73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1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Bezmezer"/>
    <w:link w:val="Styl1Char"/>
    <w:qFormat/>
    <w:rsid w:val="005A76F6"/>
    <w:rPr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5A76F6"/>
  </w:style>
  <w:style w:type="character" w:customStyle="1" w:styleId="Styl1Char">
    <w:name w:val="Styl1 Char"/>
    <w:basedOn w:val="BezmezerChar"/>
    <w:link w:val="Styl1"/>
    <w:rsid w:val="005A76F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rek\Sta&#382;en&#233;%20str&#225;nky\Moje%20&#269;l&#225;nky\Z&#225;vislost%20Ri%20na%20nap&#283;t&#237;%20LiPol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Mirek\Sta&#382;en&#233;%20str&#225;nky\Moje%20&#269;l&#225;nky\Z&#225;vislost%20Ri%20na%20nap&#283;t&#237;%20LiPo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rek\Desktop\Z&#225;vislost%20Ri%20na%20zat&#283;&#382;ovac&#237;m%20proudu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 sz="1000">
                <a:latin typeface="Arial" pitchFamily="34" charset="0"/>
                <a:cs typeface="Arial" pitchFamily="34" charset="0"/>
              </a:rPr>
              <a:t>Závislost Ri a Céčka na napětí aku</a:t>
            </a:r>
          </a:p>
        </c:rich>
      </c:tx>
    </c:title>
    <c:plotArea>
      <c:layout/>
      <c:lineChart>
        <c:grouping val="standard"/>
        <c:ser>
          <c:idx val="2"/>
          <c:order val="0"/>
          <c:tx>
            <c:strRef>
              <c:f>List1!$C$67</c:f>
              <c:strCache>
                <c:ptCount val="1"/>
                <c:pt idx="0">
                  <c:v>Ri [mΩ]</c:v>
                </c:pt>
              </c:strCache>
            </c:strRef>
          </c:tx>
          <c:spPr>
            <a:ln w="15875">
              <a:solidFill>
                <a:srgbClr val="F25F0E"/>
              </a:solidFill>
            </a:ln>
          </c:spPr>
          <c:marker>
            <c:symbol val="none"/>
          </c:marker>
          <c:trendline>
            <c:name>polynom 3.řádu</c:name>
            <c:spPr>
              <a:ln w="19050">
                <a:solidFill>
                  <a:srgbClr val="FF0000"/>
                </a:solidFill>
                <a:prstDash val="dash"/>
              </a:ln>
            </c:spPr>
            <c:trendlineType val="poly"/>
            <c:order val="3"/>
          </c:trendline>
          <c:cat>
            <c:numRef>
              <c:f>List1!$B$68:$B$83</c:f>
              <c:numCache>
                <c:formatCode>General</c:formatCode>
                <c:ptCount val="16"/>
                <c:pt idx="0">
                  <c:v>12.5</c:v>
                </c:pt>
                <c:pt idx="1">
                  <c:v>12.3</c:v>
                </c:pt>
                <c:pt idx="2">
                  <c:v>12.1</c:v>
                </c:pt>
                <c:pt idx="3">
                  <c:v>11.9</c:v>
                </c:pt>
                <c:pt idx="4">
                  <c:v>11.7</c:v>
                </c:pt>
                <c:pt idx="5">
                  <c:v>11.5</c:v>
                </c:pt>
                <c:pt idx="6">
                  <c:v>11.3</c:v>
                </c:pt>
                <c:pt idx="7">
                  <c:v>11.1</c:v>
                </c:pt>
                <c:pt idx="8">
                  <c:v>10.9</c:v>
                </c:pt>
                <c:pt idx="9">
                  <c:v>10.7</c:v>
                </c:pt>
                <c:pt idx="10">
                  <c:v>10.5</c:v>
                </c:pt>
                <c:pt idx="11">
                  <c:v>10.3</c:v>
                </c:pt>
                <c:pt idx="12">
                  <c:v>10.1</c:v>
                </c:pt>
                <c:pt idx="13">
                  <c:v>9.9</c:v>
                </c:pt>
                <c:pt idx="14">
                  <c:v>9.7000000000000011</c:v>
                </c:pt>
                <c:pt idx="15">
                  <c:v>9.5</c:v>
                </c:pt>
              </c:numCache>
            </c:numRef>
          </c:cat>
          <c:val>
            <c:numRef>
              <c:f>List1!$C$68:$C$83</c:f>
              <c:numCache>
                <c:formatCode>General</c:formatCode>
                <c:ptCount val="16"/>
                <c:pt idx="0">
                  <c:v>13.3</c:v>
                </c:pt>
                <c:pt idx="1">
                  <c:v>13.9</c:v>
                </c:pt>
                <c:pt idx="2">
                  <c:v>13.8</c:v>
                </c:pt>
                <c:pt idx="3" formatCode="0.0">
                  <c:v>14</c:v>
                </c:pt>
                <c:pt idx="4">
                  <c:v>14.9</c:v>
                </c:pt>
                <c:pt idx="5">
                  <c:v>15.7</c:v>
                </c:pt>
                <c:pt idx="6">
                  <c:v>17.100000000000001</c:v>
                </c:pt>
                <c:pt idx="7">
                  <c:v>18.100000000000001</c:v>
                </c:pt>
                <c:pt idx="8">
                  <c:v>19.2</c:v>
                </c:pt>
                <c:pt idx="9">
                  <c:v>20.2</c:v>
                </c:pt>
                <c:pt idx="10">
                  <c:v>20.6</c:v>
                </c:pt>
                <c:pt idx="11">
                  <c:v>21.7</c:v>
                </c:pt>
                <c:pt idx="12" formatCode="0.0">
                  <c:v>23</c:v>
                </c:pt>
                <c:pt idx="13">
                  <c:v>24.4</c:v>
                </c:pt>
                <c:pt idx="14">
                  <c:v>25.1</c:v>
                </c:pt>
                <c:pt idx="15">
                  <c:v>26.7</c:v>
                </c:pt>
              </c:numCache>
            </c:numRef>
          </c:val>
        </c:ser>
        <c:ser>
          <c:idx val="0"/>
          <c:order val="1"/>
          <c:tx>
            <c:strRef>
              <c:f>List1!$D$67</c:f>
              <c:strCache>
                <c:ptCount val="1"/>
                <c:pt idx="0">
                  <c:v>Céčko [-]</c:v>
                </c:pt>
              </c:strCache>
            </c:strRef>
          </c:tx>
          <c:spPr>
            <a:ln w="15875">
              <a:solidFill>
                <a:srgbClr val="79C8EB"/>
              </a:solidFill>
            </a:ln>
          </c:spPr>
          <c:marker>
            <c:symbol val="none"/>
          </c:marker>
          <c:trendline>
            <c:name>polynom 3.řádu</c:name>
            <c:spPr>
              <a:ln w="19050">
                <a:solidFill>
                  <a:schemeClr val="tx2"/>
                </a:solidFill>
                <a:prstDash val="dash"/>
              </a:ln>
            </c:spPr>
            <c:trendlineType val="poly"/>
            <c:order val="3"/>
          </c:trendline>
          <c:cat>
            <c:numRef>
              <c:f>List1!$B$68:$B$83</c:f>
              <c:numCache>
                <c:formatCode>General</c:formatCode>
                <c:ptCount val="16"/>
                <c:pt idx="0">
                  <c:v>12.5</c:v>
                </c:pt>
                <c:pt idx="1">
                  <c:v>12.3</c:v>
                </c:pt>
                <c:pt idx="2">
                  <c:v>12.1</c:v>
                </c:pt>
                <c:pt idx="3">
                  <c:v>11.9</c:v>
                </c:pt>
                <c:pt idx="4">
                  <c:v>11.7</c:v>
                </c:pt>
                <c:pt idx="5">
                  <c:v>11.5</c:v>
                </c:pt>
                <c:pt idx="6">
                  <c:v>11.3</c:v>
                </c:pt>
                <c:pt idx="7">
                  <c:v>11.1</c:v>
                </c:pt>
                <c:pt idx="8">
                  <c:v>10.9</c:v>
                </c:pt>
                <c:pt idx="9">
                  <c:v>10.7</c:v>
                </c:pt>
                <c:pt idx="10">
                  <c:v>10.5</c:v>
                </c:pt>
                <c:pt idx="11">
                  <c:v>10.3</c:v>
                </c:pt>
                <c:pt idx="12">
                  <c:v>10.1</c:v>
                </c:pt>
                <c:pt idx="13">
                  <c:v>9.9</c:v>
                </c:pt>
                <c:pt idx="14">
                  <c:v>9.7000000000000011</c:v>
                </c:pt>
                <c:pt idx="15">
                  <c:v>9.5</c:v>
                </c:pt>
              </c:numCache>
            </c:numRef>
          </c:cat>
          <c:val>
            <c:numRef>
              <c:f>List1!$D$68:$D$83</c:f>
              <c:numCache>
                <c:formatCode>0.0</c:formatCode>
                <c:ptCount val="16"/>
                <c:pt idx="0">
                  <c:v>32.099479467900494</c:v>
                </c:pt>
                <c:pt idx="1">
                  <c:v>30.713890426120638</c:v>
                </c:pt>
                <c:pt idx="2" formatCode="General">
                  <c:v>30.9</c:v>
                </c:pt>
                <c:pt idx="3">
                  <c:v>30.494505494505493</c:v>
                </c:pt>
                <c:pt idx="4">
                  <c:v>28.652555498193095</c:v>
                </c:pt>
                <c:pt idx="5">
                  <c:v>27.192552670259676</c:v>
                </c:pt>
                <c:pt idx="6">
                  <c:v>24.966261808366919</c:v>
                </c:pt>
                <c:pt idx="7">
                  <c:v>23.586910327241814</c:v>
                </c:pt>
                <c:pt idx="8">
                  <c:v>22.23557692307692</c:v>
                </c:pt>
                <c:pt idx="9" formatCode="General">
                  <c:v>21.2</c:v>
                </c:pt>
                <c:pt idx="10" formatCode="General">
                  <c:v>20.399999999999999</c:v>
                </c:pt>
                <c:pt idx="11">
                  <c:v>19.673874512584195</c:v>
                </c:pt>
                <c:pt idx="12" formatCode="General">
                  <c:v>18.600000000000001</c:v>
                </c:pt>
                <c:pt idx="13">
                  <c:v>17.496847414880197</c:v>
                </c:pt>
                <c:pt idx="14">
                  <c:v>17.00888752681583</c:v>
                </c:pt>
                <c:pt idx="15" formatCode="General">
                  <c:v>16.3</c:v>
                </c:pt>
              </c:numCache>
            </c:numRef>
          </c:val>
        </c:ser>
        <c:marker val="1"/>
        <c:axId val="83177856"/>
        <c:axId val="90124672"/>
      </c:lineChart>
      <c:catAx>
        <c:axId val="83177856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cs-CZ" sz="800">
                    <a:latin typeface="Arial" pitchFamily="34" charset="0"/>
                    <a:cs typeface="Arial" pitchFamily="34" charset="0"/>
                  </a:rPr>
                  <a:t>napětí aku [V]</a:t>
                </a:r>
              </a:p>
            </c:rich>
          </c:tx>
          <c:layout>
            <c:manualLayout>
              <c:xMode val="edge"/>
              <c:yMode val="edge"/>
              <c:x val="0.459238612872506"/>
              <c:y val="0.82315744622831533"/>
            </c:manualLayout>
          </c:layout>
        </c:title>
        <c:numFmt formatCode="General" sourceLinked="1"/>
        <c:tickLblPos val="nextTo"/>
        <c:crossAx val="90124672"/>
        <c:crosses val="autoZero"/>
        <c:auto val="1"/>
        <c:lblAlgn val="ctr"/>
        <c:lblOffset val="100"/>
      </c:catAx>
      <c:valAx>
        <c:axId val="90124672"/>
        <c:scaling>
          <c:orientation val="minMax"/>
          <c:max val="35"/>
          <c:min val="12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 sz="800"/>
                  <a:t>Ri </a:t>
                </a:r>
                <a:r>
                  <a:rPr lang="cs-CZ" sz="800">
                    <a:latin typeface="Times New Roman"/>
                    <a:cs typeface="Times New Roman"/>
                  </a:rPr>
                  <a:t>[m</a:t>
                </a:r>
                <a:r>
                  <a:rPr lang="el-GR" sz="800">
                    <a:latin typeface="Times New Roman"/>
                    <a:cs typeface="Times New Roman"/>
                  </a:rPr>
                  <a:t>Ω</a:t>
                </a:r>
                <a:r>
                  <a:rPr lang="cs-CZ" sz="800">
                    <a:latin typeface="Times New Roman"/>
                    <a:cs typeface="Times New Roman"/>
                  </a:rPr>
                  <a:t>]</a:t>
                </a:r>
                <a:r>
                  <a:rPr lang="cs-CZ" sz="800"/>
                  <a:t>  a Céčko </a:t>
                </a:r>
                <a:r>
                  <a:rPr lang="cs-CZ" sz="800">
                    <a:latin typeface="Times New Roman"/>
                    <a:cs typeface="Times New Roman"/>
                  </a:rPr>
                  <a:t>[-]</a:t>
                </a:r>
                <a:endParaRPr lang="cs-CZ" sz="800"/>
              </a:p>
            </c:rich>
          </c:tx>
          <c:layout>
            <c:manualLayout>
              <c:xMode val="edge"/>
              <c:yMode val="edge"/>
              <c:x val="1.3423764507312776E-2"/>
              <c:y val="0.23193438320210108"/>
            </c:manualLayout>
          </c:layout>
        </c:title>
        <c:numFmt formatCode="General" sourceLinked="1"/>
        <c:tickLblPos val="nextTo"/>
        <c:crossAx val="83177856"/>
        <c:crosses val="autoZero"/>
        <c:crossBetween val="midCat"/>
        <c:majorUnit val="3"/>
      </c:valAx>
    </c:plotArea>
    <c:legend>
      <c:legendPos val="b"/>
      <c:spPr>
        <a:ln>
          <a:solidFill>
            <a:schemeClr val="tx1"/>
          </a:solidFill>
        </a:ln>
      </c:spPr>
      <c:txPr>
        <a:bodyPr/>
        <a:lstStyle/>
        <a:p>
          <a:pPr>
            <a:defRPr sz="900" baseline="0"/>
          </a:pPr>
          <a:endParaRPr lang="cs-CZ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 sz="1050"/>
            </a:pPr>
            <a:r>
              <a:rPr lang="cs-CZ" sz="1050"/>
              <a:t>Pokles napětí aku v čase, po zatížení proudem</a:t>
            </a:r>
          </a:p>
        </c:rich>
      </c:tx>
      <c:layout>
        <c:manualLayout>
          <c:xMode val="edge"/>
          <c:yMode val="edge"/>
          <c:x val="0.26114664648267605"/>
          <c:y val="3.3089425827048664E-2"/>
        </c:manualLayout>
      </c:layout>
    </c:title>
    <c:plotArea>
      <c:layout>
        <c:manualLayout>
          <c:layoutTarget val="inner"/>
          <c:xMode val="edge"/>
          <c:yMode val="edge"/>
          <c:x val="0.14250507148145067"/>
          <c:y val="0.12046966706433539"/>
          <c:w val="0.8306329016565237"/>
          <c:h val="0.57904212902802232"/>
        </c:manualLayout>
      </c:layout>
      <c:lineChart>
        <c:grouping val="standard"/>
        <c:ser>
          <c:idx val="0"/>
          <c:order val="0"/>
          <c:tx>
            <c:strRef>
              <c:f>List1!$F$108</c:f>
              <c:strCache>
                <c:ptCount val="1"/>
                <c:pt idx="0">
                  <c:v>Ubat [V]</c:v>
                </c:pt>
              </c:strCache>
            </c:strRef>
          </c:tx>
          <c:spPr>
            <a:ln w="15875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List1!$B$109:$B$125</c:f>
              <c:numCache>
                <c:formatCode>General</c:formatCode>
                <c:ptCount val="17"/>
                <c:pt idx="0">
                  <c:v>0.84900000000000064</c:v>
                </c:pt>
                <c:pt idx="1">
                  <c:v>0.89900000000000002</c:v>
                </c:pt>
                <c:pt idx="2">
                  <c:v>0.94899999999999995</c:v>
                </c:pt>
                <c:pt idx="3">
                  <c:v>0.999</c:v>
                </c:pt>
                <c:pt idx="4">
                  <c:v>1.0489999999999948</c:v>
                </c:pt>
                <c:pt idx="5">
                  <c:v>1.099</c:v>
                </c:pt>
                <c:pt idx="6">
                  <c:v>1.149</c:v>
                </c:pt>
                <c:pt idx="7">
                  <c:v>1.1990000000000001</c:v>
                </c:pt>
                <c:pt idx="8">
                  <c:v>1.2489999999999946</c:v>
                </c:pt>
                <c:pt idx="9">
                  <c:v>1.2989999999999948</c:v>
                </c:pt>
                <c:pt idx="10">
                  <c:v>1.349</c:v>
                </c:pt>
                <c:pt idx="11">
                  <c:v>1.399</c:v>
                </c:pt>
                <c:pt idx="12">
                  <c:v>1.4489999999999936</c:v>
                </c:pt>
                <c:pt idx="13">
                  <c:v>1.4989999999999946</c:v>
                </c:pt>
                <c:pt idx="14">
                  <c:v>1.5489999999999948</c:v>
                </c:pt>
                <c:pt idx="15">
                  <c:v>1.599</c:v>
                </c:pt>
                <c:pt idx="16">
                  <c:v>1.649</c:v>
                </c:pt>
              </c:numCache>
            </c:numRef>
          </c:cat>
          <c:val>
            <c:numRef>
              <c:f>List1!$F$109:$F$125</c:f>
              <c:numCache>
                <c:formatCode>General</c:formatCode>
                <c:ptCount val="17"/>
                <c:pt idx="0">
                  <c:v>11.339</c:v>
                </c:pt>
                <c:pt idx="1">
                  <c:v>11.339</c:v>
                </c:pt>
                <c:pt idx="2">
                  <c:v>11.339</c:v>
                </c:pt>
                <c:pt idx="3">
                  <c:v>11.339</c:v>
                </c:pt>
                <c:pt idx="4">
                  <c:v>11.339</c:v>
                </c:pt>
                <c:pt idx="5">
                  <c:v>11.339</c:v>
                </c:pt>
                <c:pt idx="6">
                  <c:v>11.339</c:v>
                </c:pt>
                <c:pt idx="7">
                  <c:v>11.339</c:v>
                </c:pt>
                <c:pt idx="8">
                  <c:v>11.335000000000004</c:v>
                </c:pt>
                <c:pt idx="9">
                  <c:v>11.191000000000001</c:v>
                </c:pt>
                <c:pt idx="10">
                  <c:v>11.138999999999999</c:v>
                </c:pt>
                <c:pt idx="11">
                  <c:v>11.132</c:v>
                </c:pt>
                <c:pt idx="12">
                  <c:v>11.129000000000001</c:v>
                </c:pt>
                <c:pt idx="13">
                  <c:v>11.126000000000001</c:v>
                </c:pt>
                <c:pt idx="14">
                  <c:v>11.122</c:v>
                </c:pt>
                <c:pt idx="15">
                  <c:v>11.119</c:v>
                </c:pt>
                <c:pt idx="16">
                  <c:v>11.117999999999999</c:v>
                </c:pt>
              </c:numCache>
            </c:numRef>
          </c:val>
        </c:ser>
        <c:marker val="1"/>
        <c:axId val="68345856"/>
        <c:axId val="68347776"/>
      </c:lineChart>
      <c:catAx>
        <c:axId val="683458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00"/>
                </a:pPr>
                <a:r>
                  <a:rPr lang="en-US" sz="900"/>
                  <a:t>Zeit</a:t>
                </a:r>
                <a:r>
                  <a:rPr lang="cs-CZ" sz="900"/>
                  <a:t> </a:t>
                </a:r>
                <a:r>
                  <a:rPr lang="cs-CZ" sz="900">
                    <a:latin typeface="Times New Roman"/>
                    <a:cs typeface="Times New Roman"/>
                  </a:rPr>
                  <a:t>[s]</a:t>
                </a:r>
                <a:endParaRPr lang="en-US" sz="900"/>
              </a:p>
            </c:rich>
          </c:tx>
          <c:layout>
            <c:manualLayout>
              <c:xMode val="edge"/>
              <c:yMode val="edge"/>
              <c:x val="0.47933181953403631"/>
              <c:y val="0.81957437378375197"/>
            </c:manualLayout>
          </c:layout>
        </c:title>
        <c:numFmt formatCode="General" sourceLinked="1"/>
        <c:tickLblPos val="nextTo"/>
        <c:txPr>
          <a:bodyPr rot="-5400000"/>
          <a:lstStyle/>
          <a:p>
            <a:pPr>
              <a:defRPr/>
            </a:pPr>
            <a:endParaRPr lang="cs-CZ"/>
          </a:p>
        </c:txPr>
        <c:crossAx val="68347776"/>
        <c:crosses val="autoZero"/>
        <c:auto val="1"/>
        <c:lblAlgn val="ctr"/>
        <c:lblOffset val="100"/>
      </c:catAx>
      <c:valAx>
        <c:axId val="6834777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cs-CZ" sz="800"/>
                  <a:t>Ubat </a:t>
                </a:r>
                <a:r>
                  <a:rPr lang="cs-CZ" sz="800">
                    <a:latin typeface="Times New Roman"/>
                    <a:cs typeface="Times New Roman"/>
                  </a:rPr>
                  <a:t>[V]</a:t>
                </a:r>
                <a:endParaRPr lang="cs-CZ" sz="800"/>
              </a:p>
            </c:rich>
          </c:tx>
          <c:layout>
            <c:manualLayout>
              <c:xMode val="edge"/>
              <c:yMode val="edge"/>
              <c:x val="3.3627281525246931E-2"/>
              <c:y val="0.34472233187210438"/>
            </c:manualLayout>
          </c:layout>
        </c:title>
        <c:numFmt formatCode="#,##0.000" sourceLinked="0"/>
        <c:tickLblPos val="nextTo"/>
        <c:crossAx val="68345856"/>
        <c:crosses val="autoZero"/>
        <c:crossBetween val="midCat"/>
      </c:valAx>
      <c:spPr>
        <a:ln>
          <a:solidFill>
            <a:srgbClr val="00D05E"/>
          </a:solidFill>
        </a:ln>
      </c:spPr>
    </c:plotArea>
    <c:legend>
      <c:legendPos val="b"/>
      <c:layout>
        <c:manualLayout>
          <c:xMode val="edge"/>
          <c:yMode val="edge"/>
          <c:x val="0.43863607436445196"/>
          <c:y val="0.88368257397904348"/>
          <c:w val="0.13803153371969121"/>
          <c:h val="6.0028947568888977E-2"/>
        </c:manualLayout>
      </c:layout>
      <c:spPr>
        <a:ln>
          <a:solidFill>
            <a:schemeClr val="tx1"/>
          </a:solidFill>
        </a:ln>
      </c:spPr>
    </c:legend>
    <c:plotVisOnly val="1"/>
  </c:chart>
  <c:txPr>
    <a:bodyPr/>
    <a:lstStyle/>
    <a:p>
      <a:pPr>
        <a:defRPr sz="1000">
          <a:latin typeface="Arial" pitchFamily="34" charset="0"/>
          <a:cs typeface="Arial" pitchFamily="34" charset="0"/>
        </a:defRPr>
      </a:pPr>
      <a:endParaRPr lang="cs-CZ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r>
              <a:rPr lang="cs-CZ" sz="1100">
                <a:latin typeface="Arial" pitchFamily="34" charset="0"/>
                <a:cs typeface="Arial" pitchFamily="34" charset="0"/>
              </a:rPr>
              <a:t>Závislost Ri a Céčka na velikosti zatěžovacího proudu</a:t>
            </a:r>
            <a:endParaRPr lang="en-US" sz="1100">
              <a:latin typeface="Arial" pitchFamily="34" charset="0"/>
              <a:cs typeface="Arial" pitchFamily="34" charset="0"/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'[Závislost Ri na zatěžovacím proudu.xlsx]List1'!$B$3</c:f>
              <c:strCache>
                <c:ptCount val="1"/>
                <c:pt idx="0">
                  <c:v>Ri [mΩ]</c:v>
                </c:pt>
              </c:strCache>
            </c:strRef>
          </c:tx>
          <c:spPr>
            <a:ln w="15875">
              <a:solidFill>
                <a:srgbClr val="FF0000"/>
              </a:solidFill>
            </a:ln>
          </c:spPr>
          <c:marker>
            <c:symbol val="none"/>
          </c:marker>
          <c:trendline>
            <c:name>lineární průměr</c:name>
            <c:spPr>
              <a:ln w="28575">
                <a:solidFill>
                  <a:srgbClr val="FF0000"/>
                </a:solidFill>
                <a:prstDash val="dash"/>
              </a:ln>
            </c:spPr>
            <c:trendlineType val="linear"/>
          </c:trendline>
          <c:cat>
            <c:numRef>
              <c:f>'[Závislost Ri na zatěžovacím proudu.xlsx]List1'!$C$2:$K$2</c:f>
              <c:numCache>
                <c:formatCode>General</c:formatCode>
                <c:ptCount val="9"/>
                <c:pt idx="0">
                  <c:v>0.93500000000000005</c:v>
                </c:pt>
                <c:pt idx="1">
                  <c:v>2.613</c:v>
                </c:pt>
                <c:pt idx="2">
                  <c:v>5.1069999999999975</c:v>
                </c:pt>
                <c:pt idx="3">
                  <c:v>6.0759999999999996</c:v>
                </c:pt>
                <c:pt idx="4">
                  <c:v>9.9409999999999989</c:v>
                </c:pt>
                <c:pt idx="5">
                  <c:v>11.212</c:v>
                </c:pt>
                <c:pt idx="6">
                  <c:v>12.826000000000002</c:v>
                </c:pt>
                <c:pt idx="7">
                  <c:v>14.493</c:v>
                </c:pt>
                <c:pt idx="8">
                  <c:v>17.298999999999989</c:v>
                </c:pt>
              </c:numCache>
            </c:numRef>
          </c:cat>
          <c:val>
            <c:numRef>
              <c:f>'[Závislost Ri na zatěžovacím proudu.xlsx]List1'!$C$3:$K$3</c:f>
              <c:numCache>
                <c:formatCode>General</c:formatCode>
                <c:ptCount val="9"/>
                <c:pt idx="0">
                  <c:v>19.3</c:v>
                </c:pt>
                <c:pt idx="1">
                  <c:v>19.100000000000001</c:v>
                </c:pt>
                <c:pt idx="2">
                  <c:v>18.600000000000001</c:v>
                </c:pt>
                <c:pt idx="3">
                  <c:v>18.399999999999999</c:v>
                </c:pt>
                <c:pt idx="4">
                  <c:v>19.100000000000001</c:v>
                </c:pt>
                <c:pt idx="5">
                  <c:v>18.8</c:v>
                </c:pt>
                <c:pt idx="6">
                  <c:v>18.899999999999999</c:v>
                </c:pt>
                <c:pt idx="7">
                  <c:v>18.5</c:v>
                </c:pt>
                <c:pt idx="8">
                  <c:v>18.8</c:v>
                </c:pt>
              </c:numCache>
            </c:numRef>
          </c:val>
        </c:ser>
        <c:ser>
          <c:idx val="1"/>
          <c:order val="1"/>
          <c:tx>
            <c:strRef>
              <c:f>'[Závislost Ri na zatěžovacím proudu.xlsx]List1'!$B$7</c:f>
              <c:strCache>
                <c:ptCount val="1"/>
                <c:pt idx="0">
                  <c:v>Céčko [-]</c:v>
                </c:pt>
              </c:strCache>
            </c:strRef>
          </c:tx>
          <c:spPr>
            <a:ln w="15875">
              <a:solidFill>
                <a:srgbClr val="00B0F0"/>
              </a:solidFill>
            </a:ln>
          </c:spPr>
          <c:marker>
            <c:symbol val="none"/>
          </c:marker>
          <c:trendline>
            <c:name>lineární průměr</c:name>
            <c:spPr>
              <a:ln w="28575">
                <a:solidFill>
                  <a:srgbClr val="00B0F0"/>
                </a:solidFill>
                <a:prstDash val="dash"/>
              </a:ln>
            </c:spPr>
            <c:trendlineType val="linear"/>
          </c:trendline>
          <c:cat>
            <c:numRef>
              <c:f>'[Závislost Ri na zatěžovacím proudu.xlsx]List1'!$C$2:$K$2</c:f>
              <c:numCache>
                <c:formatCode>General</c:formatCode>
                <c:ptCount val="9"/>
                <c:pt idx="0">
                  <c:v>0.93500000000000005</c:v>
                </c:pt>
                <c:pt idx="1">
                  <c:v>2.613</c:v>
                </c:pt>
                <c:pt idx="2">
                  <c:v>5.1069999999999975</c:v>
                </c:pt>
                <c:pt idx="3">
                  <c:v>6.0759999999999996</c:v>
                </c:pt>
                <c:pt idx="4">
                  <c:v>9.9409999999999989</c:v>
                </c:pt>
                <c:pt idx="5">
                  <c:v>11.212</c:v>
                </c:pt>
                <c:pt idx="6">
                  <c:v>12.826000000000002</c:v>
                </c:pt>
                <c:pt idx="7">
                  <c:v>14.493</c:v>
                </c:pt>
                <c:pt idx="8">
                  <c:v>17.298999999999989</c:v>
                </c:pt>
              </c:numCache>
            </c:numRef>
          </c:cat>
          <c:val>
            <c:numRef>
              <c:f>'[Závislost Ri na zatěžovacím proudu.xlsx]List1'!$C$7:$K$7</c:f>
              <c:numCache>
                <c:formatCode>General</c:formatCode>
                <c:ptCount val="9"/>
                <c:pt idx="0">
                  <c:v>22.1</c:v>
                </c:pt>
                <c:pt idx="1">
                  <c:v>22.3</c:v>
                </c:pt>
                <c:pt idx="2">
                  <c:v>22.9</c:v>
                </c:pt>
                <c:pt idx="3">
                  <c:v>23.2</c:v>
                </c:pt>
                <c:pt idx="4">
                  <c:v>22.3</c:v>
                </c:pt>
                <c:pt idx="5">
                  <c:v>22.7</c:v>
                </c:pt>
                <c:pt idx="6">
                  <c:v>22.6</c:v>
                </c:pt>
                <c:pt idx="7">
                  <c:v>23.1</c:v>
                </c:pt>
                <c:pt idx="8">
                  <c:v>22.7</c:v>
                </c:pt>
              </c:numCache>
            </c:numRef>
          </c:val>
        </c:ser>
        <c:marker val="1"/>
        <c:axId val="68402176"/>
        <c:axId val="68416640"/>
      </c:lineChart>
      <c:catAx>
        <c:axId val="68402176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zatěžovací proud [</a:t>
                </a:r>
                <a:r>
                  <a:rPr lang="cs-CZ"/>
                  <a:t>A</a:t>
                </a:r>
                <a:r>
                  <a:rPr lang="cs-CZ">
                    <a:latin typeface="Times New Roman"/>
                    <a:cs typeface="Times New Roman"/>
                  </a:rPr>
                  <a:t>]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42246930644460845"/>
              <c:y val="0.8092668096217428"/>
            </c:manualLayout>
          </c:layout>
        </c:title>
        <c:numFmt formatCode="General" sourceLinked="1"/>
        <c:tickLblPos val="nextTo"/>
        <c:crossAx val="68416640"/>
        <c:crosses val="autoZero"/>
        <c:auto val="1"/>
        <c:lblAlgn val="ctr"/>
        <c:lblOffset val="100"/>
      </c:catAx>
      <c:valAx>
        <c:axId val="68416640"/>
        <c:scaling>
          <c:orientation val="minMax"/>
          <c:max val="30"/>
          <c:min val="1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Ri </a:t>
                </a:r>
                <a:r>
                  <a:rPr lang="cs-CZ">
                    <a:latin typeface="Times New Roman"/>
                    <a:cs typeface="Times New Roman"/>
                  </a:rPr>
                  <a:t>[m</a:t>
                </a:r>
                <a:r>
                  <a:rPr lang="el-GR">
                    <a:latin typeface="Times New Roman"/>
                    <a:cs typeface="Times New Roman"/>
                  </a:rPr>
                  <a:t>Ω]</a:t>
                </a:r>
                <a:r>
                  <a:rPr lang="cs-CZ">
                    <a:latin typeface="Times New Roman"/>
                    <a:cs typeface="Times New Roman"/>
                  </a:rPr>
                  <a:t> a Céčko [-]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1.5002344116268183E-2"/>
              <c:y val="0.27880314960629921"/>
            </c:manualLayout>
          </c:layout>
        </c:title>
        <c:numFmt formatCode="General" sourceLinked="1"/>
        <c:tickLblPos val="nextTo"/>
        <c:crossAx val="68402176"/>
        <c:crosses val="autoZero"/>
        <c:crossBetween val="midCat"/>
        <c:majorUnit val="2.5"/>
      </c:valAx>
    </c:plotArea>
    <c:legend>
      <c:legendPos val="b"/>
      <c:layout>
        <c:manualLayout>
          <c:xMode val="edge"/>
          <c:yMode val="edge"/>
          <c:x val="0.14270601786287529"/>
          <c:y val="0.89162741667436873"/>
          <c:w val="0.73342724564492734"/>
          <c:h val="6.3448818897637801E-2"/>
        </c:manualLayout>
      </c:layout>
      <c:spPr>
        <a:ln>
          <a:solidFill>
            <a:schemeClr val="tx1"/>
          </a:solidFill>
        </a:ln>
      </c:spPr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0.72023</cdr:x>
      <cdr:y>0.17678</cdr:y>
    </cdr:from>
    <cdr:to>
      <cdr:x>0.94405</cdr:x>
      <cdr:y>0.33773</cdr:y>
    </cdr:to>
    <cdr:sp macro="" textlink="">
      <cdr:nvSpPr>
        <cdr:cNvPr id="4" name="TextovéPole 3"/>
        <cdr:cNvSpPr txBox="1"/>
      </cdr:nvSpPr>
      <cdr:spPr>
        <a:xfrm xmlns:a="http://schemas.openxmlformats.org/drawingml/2006/main">
          <a:off x="4781550" y="638175"/>
          <a:ext cx="1485900" cy="581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l"/>
          <a:endParaRPr lang="cs-CZ" sz="900"/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Původ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0BAF0-EB43-4707-82AF-20F995EF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1182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52</cp:revision>
  <cp:lastPrinted>2019-05-16T09:28:00Z</cp:lastPrinted>
  <dcterms:created xsi:type="dcterms:W3CDTF">2018-11-29T15:27:00Z</dcterms:created>
  <dcterms:modified xsi:type="dcterms:W3CDTF">2019-05-16T09:30:00Z</dcterms:modified>
</cp:coreProperties>
</file>